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before="312" w:beforeLines="100"/>
        <w:jc w:val="left"/>
        <w:rPr>
          <w:rFonts w:hint="eastAsia" w:ascii="仿宋_GB2312" w:eastAsia="仿宋_GB2312"/>
          <w:bCs/>
          <w:sz w:val="32"/>
          <w:szCs w:val="32"/>
        </w:rPr>
      </w:pPr>
    </w:p>
    <w:p>
      <w:pPr>
        <w:spacing w:before="312" w:beforeLines="100"/>
        <w:jc w:val="left"/>
        <w:rPr>
          <w:rFonts w:ascii="仿宋_GB2312" w:eastAsia="仿宋_GB2312"/>
          <w:bCs/>
          <w:sz w:val="32"/>
          <w:szCs w:val="32"/>
        </w:rPr>
      </w:pPr>
    </w:p>
    <w:p>
      <w:pPr>
        <w:spacing w:before="312" w:beforeLines="100"/>
        <w:jc w:val="left"/>
        <w:rPr>
          <w:rFonts w:hint="eastAsia" w:ascii="仿宋_GB2312" w:eastAsia="仿宋_GB2312"/>
          <w:bCs/>
          <w:sz w:val="32"/>
          <w:szCs w:val="32"/>
        </w:rPr>
      </w:pPr>
    </w:p>
    <w:p>
      <w:pPr>
        <w:spacing w:before="312" w:beforeLines="100"/>
        <w:jc w:val="left"/>
        <w:rPr>
          <w:rFonts w:ascii="仿宋_GB2312" w:eastAsia="仿宋_GB2312"/>
          <w:bCs/>
          <w:sz w:val="32"/>
          <w:szCs w:val="32"/>
        </w:rPr>
      </w:pPr>
    </w:p>
    <w:p>
      <w:pPr>
        <w:spacing w:after="156" w:afterLines="50"/>
        <w:jc w:val="center"/>
        <w:rPr>
          <w:rFonts w:ascii="方正小标宋简体" w:eastAsia="方正小标宋简体"/>
          <w:b/>
          <w:bCs/>
          <w:sz w:val="44"/>
          <w:szCs w:val="44"/>
        </w:rPr>
      </w:pPr>
      <w:r>
        <w:rPr>
          <w:rFonts w:hint="eastAsia" w:ascii="方正小标宋简体" w:eastAsia="方正小标宋简体"/>
          <w:b/>
          <w:bCs/>
          <w:sz w:val="44"/>
          <w:szCs w:val="44"/>
        </w:rPr>
        <w:t>高等职业教育创新发展行动计划（2015</w:t>
      </w:r>
      <w:r>
        <w:rPr>
          <w:rFonts w:ascii="方正小标宋简体" w:eastAsia="方正小标宋简体"/>
          <w:b/>
          <w:bCs/>
          <w:sz w:val="44"/>
          <w:szCs w:val="44"/>
        </w:rPr>
        <w:t>-201</w:t>
      </w:r>
      <w:r>
        <w:rPr>
          <w:rFonts w:hint="eastAsia" w:ascii="方正小标宋简体" w:eastAsia="方正小标宋简体"/>
          <w:b/>
          <w:bCs/>
          <w:sz w:val="44"/>
          <w:szCs w:val="44"/>
        </w:rPr>
        <w:t>8年）</w:t>
      </w:r>
    </w:p>
    <w:p>
      <w:pPr>
        <w:adjustRightInd w:val="0"/>
        <w:snapToGrid w:val="0"/>
        <w:spacing w:after="468" w:afterLines="150" w:line="520" w:lineRule="exact"/>
        <w:jc w:val="center"/>
        <w:rPr>
          <w:rFonts w:eastAsia="仿宋"/>
          <w:sz w:val="32"/>
          <w:szCs w:val="30"/>
        </w:rPr>
      </w:pPr>
      <w:r>
        <w:rPr>
          <w:rFonts w:hint="eastAsia" w:eastAsia="仿宋"/>
          <w:sz w:val="32"/>
          <w:szCs w:val="30"/>
        </w:rPr>
        <w:t>（征求意见稿）</w:t>
      </w:r>
    </w:p>
    <w:p>
      <w:pPr>
        <w:adjustRightInd w:val="0"/>
        <w:snapToGrid w:val="0"/>
        <w:spacing w:after="468" w:afterLines="150" w:line="520" w:lineRule="exact"/>
        <w:jc w:val="center"/>
        <w:rPr>
          <w:rFonts w:eastAsia="仿宋"/>
          <w:sz w:val="32"/>
          <w:szCs w:val="30"/>
        </w:rPr>
      </w:pPr>
    </w:p>
    <w:p>
      <w:pPr>
        <w:adjustRightInd w:val="0"/>
        <w:snapToGrid w:val="0"/>
        <w:spacing w:after="468" w:afterLines="150" w:line="520" w:lineRule="exact"/>
        <w:jc w:val="center"/>
        <w:rPr>
          <w:rFonts w:eastAsia="仿宋"/>
          <w:sz w:val="32"/>
          <w:szCs w:val="30"/>
        </w:rPr>
      </w:pPr>
    </w:p>
    <w:p>
      <w:pPr>
        <w:tabs>
          <w:tab w:val="left" w:pos="3686"/>
        </w:tabs>
        <w:adjustRightInd w:val="0"/>
        <w:snapToGrid w:val="0"/>
        <w:spacing w:line="440" w:lineRule="exact"/>
        <w:jc w:val="center"/>
        <w:rPr>
          <w:rFonts w:eastAsia="黑体"/>
          <w:sz w:val="36"/>
          <w:szCs w:val="36"/>
          <w:lang w:val="zh-CN"/>
        </w:rPr>
        <w:sectPr>
          <w:headerReference r:id="rId3" w:type="first"/>
          <w:footerReference r:id="rId4" w:type="default"/>
          <w:pgSz w:w="11906" w:h="16838"/>
          <w:pgMar w:top="1440" w:right="1803" w:bottom="1440" w:left="1803" w:header="851" w:footer="992" w:gutter="0"/>
          <w:paperSrc/>
          <w:pgNumType w:fmt="upperRoman"/>
          <w:cols w:space="0" w:num="1"/>
          <w:rtlGutter w:val="0"/>
          <w:docGrid w:type="lines" w:linePitch="312" w:charSpace="0"/>
        </w:sectPr>
      </w:pPr>
    </w:p>
    <w:p>
      <w:pPr>
        <w:pStyle w:val="30"/>
        <w:ind w:firstLine="0" w:firstLineChars="0"/>
        <w:jc w:val="center"/>
        <w:rPr>
          <w:rFonts w:ascii="黑体" w:hAnsi="黑体"/>
          <w:b/>
          <w:bCs w:val="0"/>
          <w:color w:val="auto"/>
          <w:kern w:val="2"/>
          <w:sz w:val="36"/>
          <w:szCs w:val="36"/>
        </w:rPr>
      </w:pPr>
      <w:r>
        <w:rPr>
          <w:rFonts w:ascii="黑体" w:hAnsi="黑体"/>
          <w:b/>
          <w:bCs w:val="0"/>
          <w:color w:val="auto"/>
          <w:kern w:val="2"/>
          <w:sz w:val="32"/>
          <w:szCs w:val="32"/>
        </w:rPr>
        <w:t>目</w:t>
      </w:r>
      <w:r>
        <w:rPr>
          <w:rFonts w:hint="eastAsia" w:ascii="黑体" w:hAnsi="黑体"/>
          <w:b/>
          <w:bCs w:val="0"/>
          <w:color w:val="auto"/>
          <w:kern w:val="2"/>
          <w:sz w:val="32"/>
          <w:szCs w:val="32"/>
          <w:lang w:eastAsia="zh-CN"/>
        </w:rPr>
        <w:t xml:space="preserve">  </w:t>
      </w:r>
      <w:r>
        <w:rPr>
          <w:rFonts w:ascii="黑体" w:hAnsi="黑体"/>
          <w:b/>
          <w:bCs w:val="0"/>
          <w:color w:val="auto"/>
          <w:kern w:val="2"/>
          <w:sz w:val="32"/>
          <w:szCs w:val="32"/>
        </w:rPr>
        <w:t>录</w:t>
      </w:r>
    </w:p>
    <w:p>
      <w:pPr>
        <w:pStyle w:val="14"/>
        <w:rPr>
          <w:rFonts w:ascii="Calibri" w:hAnsi="Calibri" w:eastAsia="宋体"/>
          <w:b w:val="0"/>
          <w:sz w:val="21"/>
          <w:szCs w:val="22"/>
        </w:rPr>
      </w:pPr>
      <w:r>
        <w:rPr>
          <w:sz w:val="24"/>
        </w:rPr>
        <w:fldChar w:fldCharType="begin"/>
      </w:r>
      <w:r>
        <w:instrText xml:space="preserve"> TOC \o "1-3" \h \z \u </w:instrText>
      </w:r>
      <w:r>
        <w:rPr>
          <w:sz w:val="24"/>
        </w:rPr>
        <w:fldChar w:fldCharType="separate"/>
      </w:r>
      <w:r>
        <w:fldChar w:fldCharType="begin"/>
      </w:r>
      <w:r>
        <w:instrText xml:space="preserve"> HYPERLINK \l "_Toc426445143" </w:instrText>
      </w:r>
      <w:r>
        <w:fldChar w:fldCharType="separate"/>
      </w:r>
      <w:r>
        <w:rPr>
          <w:rStyle w:val="19"/>
          <w:rFonts w:hint="eastAsia" w:ascii="Times New Roman" w:hAnsi="Times New Roman"/>
        </w:rPr>
        <w:t>一、总体要求</w:t>
      </w:r>
      <w:r>
        <w:tab/>
      </w:r>
      <w:r>
        <w:fldChar w:fldCharType="begin"/>
      </w:r>
      <w:r>
        <w:instrText xml:space="preserve"> PAGEREF _Toc426445143 \h </w:instrText>
      </w:r>
      <w:r>
        <w:fldChar w:fldCharType="separate"/>
      </w:r>
      <w:r>
        <w:t>1</w:t>
      </w:r>
      <w:r>
        <w:fldChar w:fldCharType="end"/>
      </w:r>
      <w:r>
        <w:fldChar w:fldCharType="end"/>
      </w:r>
    </w:p>
    <w:p>
      <w:pPr>
        <w:pStyle w:val="16"/>
        <w:rPr>
          <w:rFonts w:ascii="Calibri" w:hAnsi="Calibri" w:eastAsia="宋体"/>
          <w:b w:val="0"/>
          <w:bCs w:val="0"/>
          <w:sz w:val="21"/>
          <w:szCs w:val="22"/>
        </w:rPr>
      </w:pPr>
      <w:r>
        <w:fldChar w:fldCharType="begin"/>
      </w:r>
      <w:r>
        <w:instrText xml:space="preserve"> HYPERLINK \l "_Toc426445144" </w:instrText>
      </w:r>
      <w:r>
        <w:fldChar w:fldCharType="separate"/>
      </w:r>
      <w:r>
        <w:rPr>
          <w:rStyle w:val="19"/>
          <w:rFonts w:hint="eastAsia" w:ascii="Times New Roman" w:hAnsi="Times New Roman" w:eastAsia="黑体"/>
        </w:rPr>
        <w:t>（一）指导思想</w:t>
      </w:r>
      <w:r>
        <w:tab/>
      </w:r>
      <w:r>
        <w:fldChar w:fldCharType="begin"/>
      </w:r>
      <w:r>
        <w:instrText xml:space="preserve"> PAGEREF _Toc426445144 \h </w:instrText>
      </w:r>
      <w:r>
        <w:fldChar w:fldCharType="separate"/>
      </w:r>
      <w:r>
        <w:t>1</w:t>
      </w:r>
      <w:r>
        <w:fldChar w:fldCharType="end"/>
      </w:r>
      <w:r>
        <w:fldChar w:fldCharType="end"/>
      </w:r>
    </w:p>
    <w:p>
      <w:pPr>
        <w:pStyle w:val="16"/>
        <w:rPr>
          <w:rFonts w:ascii="Calibri" w:hAnsi="Calibri" w:eastAsia="宋体"/>
          <w:b w:val="0"/>
          <w:bCs w:val="0"/>
          <w:sz w:val="21"/>
          <w:szCs w:val="22"/>
        </w:rPr>
      </w:pPr>
      <w:r>
        <w:fldChar w:fldCharType="begin"/>
      </w:r>
      <w:r>
        <w:instrText xml:space="preserve"> HYPERLINK \l "_Toc426445145" </w:instrText>
      </w:r>
      <w:r>
        <w:fldChar w:fldCharType="separate"/>
      </w:r>
      <w:r>
        <w:rPr>
          <w:rStyle w:val="19"/>
          <w:rFonts w:hint="eastAsia" w:ascii="黑体" w:eastAsia="黑体"/>
        </w:rPr>
        <w:t>（二）基本原则</w:t>
      </w:r>
      <w:r>
        <w:tab/>
      </w:r>
      <w:r>
        <w:fldChar w:fldCharType="begin"/>
      </w:r>
      <w:r>
        <w:instrText xml:space="preserve"> PAGEREF _Toc426445145 \h </w:instrText>
      </w:r>
      <w:r>
        <w:fldChar w:fldCharType="separate"/>
      </w:r>
      <w:r>
        <w:t>1</w:t>
      </w:r>
      <w:r>
        <w:fldChar w:fldCharType="end"/>
      </w:r>
      <w:r>
        <w:fldChar w:fldCharType="end"/>
      </w:r>
    </w:p>
    <w:p>
      <w:pPr>
        <w:pStyle w:val="16"/>
        <w:rPr>
          <w:rFonts w:ascii="Calibri" w:hAnsi="Calibri" w:eastAsia="宋体"/>
          <w:b w:val="0"/>
          <w:bCs w:val="0"/>
          <w:sz w:val="21"/>
          <w:szCs w:val="22"/>
        </w:rPr>
      </w:pPr>
      <w:r>
        <w:fldChar w:fldCharType="begin"/>
      </w:r>
      <w:r>
        <w:instrText xml:space="preserve"> HYPERLINK \l "_Toc426445146" </w:instrText>
      </w:r>
      <w:r>
        <w:fldChar w:fldCharType="separate"/>
      </w:r>
      <w:r>
        <w:rPr>
          <w:rStyle w:val="19"/>
          <w:rFonts w:hint="eastAsia" w:ascii="黑体" w:eastAsia="黑体"/>
        </w:rPr>
        <w:t>（三）主要目标</w:t>
      </w:r>
      <w:r>
        <w:tab/>
      </w:r>
      <w:r>
        <w:fldChar w:fldCharType="begin"/>
      </w:r>
      <w:r>
        <w:instrText xml:space="preserve"> PAGEREF _Toc426445146 \h </w:instrText>
      </w:r>
      <w:r>
        <w:fldChar w:fldCharType="separate"/>
      </w:r>
      <w:r>
        <w:t>2</w:t>
      </w:r>
      <w:r>
        <w:fldChar w:fldCharType="end"/>
      </w:r>
      <w:r>
        <w:fldChar w:fldCharType="end"/>
      </w:r>
    </w:p>
    <w:p>
      <w:pPr>
        <w:pStyle w:val="16"/>
        <w:rPr>
          <w:rFonts w:ascii="Calibri" w:hAnsi="Calibri" w:eastAsia="宋体"/>
          <w:b w:val="0"/>
          <w:bCs w:val="0"/>
          <w:sz w:val="21"/>
          <w:szCs w:val="22"/>
        </w:rPr>
      </w:pPr>
      <w:r>
        <w:fldChar w:fldCharType="begin"/>
      </w:r>
      <w:r>
        <w:instrText xml:space="preserve"> HYPERLINK \l "_Toc426445147" </w:instrText>
      </w:r>
      <w:r>
        <w:fldChar w:fldCharType="separate"/>
      </w:r>
      <w:r>
        <w:rPr>
          <w:rStyle w:val="19"/>
          <w:rFonts w:hint="eastAsia" w:ascii="Times New Roman" w:hAnsi="Times New Roman" w:eastAsia="黑体"/>
        </w:rPr>
        <w:t>二、主要任务与举措</w:t>
      </w:r>
      <w:r>
        <w:tab/>
      </w:r>
      <w:r>
        <w:fldChar w:fldCharType="begin"/>
      </w:r>
      <w:r>
        <w:instrText xml:space="preserve"> PAGEREF _Toc426445147 \h </w:instrText>
      </w:r>
      <w:r>
        <w:fldChar w:fldCharType="separate"/>
      </w:r>
      <w:r>
        <w:t>3</w:t>
      </w:r>
      <w:r>
        <w:fldChar w:fldCharType="end"/>
      </w:r>
      <w:r>
        <w:fldChar w:fldCharType="end"/>
      </w:r>
    </w:p>
    <w:p>
      <w:pPr>
        <w:pStyle w:val="16"/>
        <w:rPr>
          <w:rFonts w:ascii="Calibri" w:hAnsi="Calibri" w:eastAsia="宋体"/>
          <w:b w:val="0"/>
          <w:bCs w:val="0"/>
          <w:sz w:val="21"/>
          <w:szCs w:val="22"/>
        </w:rPr>
      </w:pPr>
      <w:r>
        <w:fldChar w:fldCharType="begin"/>
      </w:r>
      <w:r>
        <w:instrText xml:space="preserve"> HYPERLINK \l "_Toc426445148" </w:instrText>
      </w:r>
      <w:r>
        <w:fldChar w:fldCharType="separate"/>
      </w:r>
      <w:r>
        <w:rPr>
          <w:rStyle w:val="19"/>
          <w:rFonts w:hint="eastAsia" w:ascii="黑体" w:eastAsia="黑体"/>
        </w:rPr>
        <w:t>（一）扩大优质教育资源</w:t>
      </w:r>
      <w:r>
        <w:tab/>
      </w:r>
      <w:r>
        <w:fldChar w:fldCharType="begin"/>
      </w:r>
      <w:r>
        <w:instrText xml:space="preserve"> PAGEREF _Toc426445148 \h </w:instrText>
      </w:r>
      <w:r>
        <w:fldChar w:fldCharType="separate"/>
      </w:r>
      <w:r>
        <w:t>3</w:t>
      </w:r>
      <w:r>
        <w:fldChar w:fldCharType="end"/>
      </w:r>
      <w:r>
        <w:fldChar w:fldCharType="end"/>
      </w:r>
    </w:p>
    <w:p>
      <w:pPr>
        <w:pStyle w:val="8"/>
        <w:rPr>
          <w:rFonts w:ascii="Calibri" w:hAnsi="Calibri"/>
          <w:sz w:val="21"/>
          <w:szCs w:val="22"/>
        </w:rPr>
      </w:pPr>
      <w:r>
        <w:fldChar w:fldCharType="begin"/>
      </w:r>
      <w:r>
        <w:instrText xml:space="preserve"> HYPERLINK \l "_Toc426445149" </w:instrText>
      </w:r>
      <w:r>
        <w:fldChar w:fldCharType="separate"/>
      </w:r>
      <w:r>
        <w:rPr>
          <w:rStyle w:val="19"/>
          <w:rFonts w:eastAsia="楷体_GB2312"/>
        </w:rPr>
        <w:t xml:space="preserve">1. </w:t>
      </w:r>
      <w:r>
        <w:rPr>
          <w:rStyle w:val="19"/>
          <w:rFonts w:hint="eastAsia" w:eastAsia="楷体_GB2312"/>
        </w:rPr>
        <w:t>提升专业建设水平</w:t>
      </w:r>
      <w:r>
        <w:tab/>
      </w:r>
      <w:r>
        <w:fldChar w:fldCharType="begin"/>
      </w:r>
      <w:r>
        <w:instrText xml:space="preserve"> PAGEREF _Toc426445149 \h </w:instrText>
      </w:r>
      <w:r>
        <w:fldChar w:fldCharType="separate"/>
      </w:r>
      <w:r>
        <w:t>3</w:t>
      </w:r>
      <w:r>
        <w:fldChar w:fldCharType="end"/>
      </w:r>
      <w:r>
        <w:fldChar w:fldCharType="end"/>
      </w:r>
    </w:p>
    <w:p>
      <w:pPr>
        <w:pStyle w:val="8"/>
        <w:rPr>
          <w:rFonts w:ascii="Calibri" w:hAnsi="Calibri"/>
          <w:sz w:val="21"/>
          <w:szCs w:val="22"/>
        </w:rPr>
      </w:pPr>
      <w:r>
        <w:fldChar w:fldCharType="begin"/>
      </w:r>
      <w:r>
        <w:instrText xml:space="preserve"> HYPERLINK \l "_Toc426445150" </w:instrText>
      </w:r>
      <w:r>
        <w:fldChar w:fldCharType="separate"/>
      </w:r>
      <w:r>
        <w:rPr>
          <w:rStyle w:val="19"/>
          <w:rFonts w:eastAsia="楷体_GB2312"/>
        </w:rPr>
        <w:t xml:space="preserve">2. </w:t>
      </w:r>
      <w:r>
        <w:rPr>
          <w:rStyle w:val="19"/>
          <w:rFonts w:hint="eastAsia" w:eastAsia="楷体_GB2312"/>
        </w:rPr>
        <w:t>开展优质学校建设</w:t>
      </w:r>
      <w:r>
        <w:tab/>
      </w:r>
      <w:r>
        <w:fldChar w:fldCharType="begin"/>
      </w:r>
      <w:r>
        <w:instrText xml:space="preserve"> PAGEREF _Toc426445150 \h </w:instrText>
      </w:r>
      <w:r>
        <w:fldChar w:fldCharType="separate"/>
      </w:r>
      <w:r>
        <w:t>3</w:t>
      </w:r>
      <w:r>
        <w:fldChar w:fldCharType="end"/>
      </w:r>
      <w:r>
        <w:fldChar w:fldCharType="end"/>
      </w:r>
    </w:p>
    <w:p>
      <w:pPr>
        <w:pStyle w:val="8"/>
        <w:rPr>
          <w:rFonts w:ascii="Calibri" w:hAnsi="Calibri"/>
          <w:sz w:val="21"/>
          <w:szCs w:val="22"/>
        </w:rPr>
      </w:pPr>
      <w:r>
        <w:fldChar w:fldCharType="begin"/>
      </w:r>
      <w:r>
        <w:instrText xml:space="preserve"> HYPERLINK \l "_Toc426445151" </w:instrText>
      </w:r>
      <w:r>
        <w:fldChar w:fldCharType="separate"/>
      </w:r>
      <w:r>
        <w:rPr>
          <w:rStyle w:val="19"/>
          <w:rFonts w:eastAsia="楷体_GB2312"/>
        </w:rPr>
        <w:t xml:space="preserve">3. </w:t>
      </w:r>
      <w:r>
        <w:rPr>
          <w:rStyle w:val="19"/>
          <w:rFonts w:hint="eastAsia" w:eastAsia="楷体_GB2312"/>
        </w:rPr>
        <w:t>引进境外优质资源</w:t>
      </w:r>
      <w:r>
        <w:tab/>
      </w:r>
      <w:r>
        <w:fldChar w:fldCharType="begin"/>
      </w:r>
      <w:r>
        <w:instrText xml:space="preserve"> PAGEREF _Toc426445151 \h </w:instrText>
      </w:r>
      <w:r>
        <w:fldChar w:fldCharType="separate"/>
      </w:r>
      <w:r>
        <w:t>4</w:t>
      </w:r>
      <w:r>
        <w:fldChar w:fldCharType="end"/>
      </w:r>
      <w:r>
        <w:fldChar w:fldCharType="end"/>
      </w:r>
    </w:p>
    <w:p>
      <w:pPr>
        <w:pStyle w:val="8"/>
        <w:rPr>
          <w:rFonts w:ascii="Calibri" w:hAnsi="Calibri"/>
          <w:sz w:val="21"/>
          <w:szCs w:val="22"/>
        </w:rPr>
      </w:pPr>
      <w:r>
        <w:fldChar w:fldCharType="begin"/>
      </w:r>
      <w:r>
        <w:instrText xml:space="preserve"> HYPERLINK \l "_Toc426445152" </w:instrText>
      </w:r>
      <w:r>
        <w:fldChar w:fldCharType="separate"/>
      </w:r>
      <w:r>
        <w:rPr>
          <w:rStyle w:val="19"/>
          <w:rFonts w:eastAsia="楷体_GB2312"/>
        </w:rPr>
        <w:t xml:space="preserve">4. </w:t>
      </w:r>
      <w:r>
        <w:rPr>
          <w:rStyle w:val="19"/>
          <w:rFonts w:hint="eastAsia" w:eastAsia="楷体_GB2312"/>
        </w:rPr>
        <w:t>加强教师队伍建设</w:t>
      </w:r>
      <w:r>
        <w:tab/>
      </w:r>
      <w:r>
        <w:fldChar w:fldCharType="begin"/>
      </w:r>
      <w:r>
        <w:instrText xml:space="preserve"> PAGEREF _Toc426445152 \h </w:instrText>
      </w:r>
      <w:r>
        <w:fldChar w:fldCharType="separate"/>
      </w:r>
      <w:r>
        <w:t>4</w:t>
      </w:r>
      <w:r>
        <w:fldChar w:fldCharType="end"/>
      </w:r>
      <w:r>
        <w:fldChar w:fldCharType="end"/>
      </w:r>
    </w:p>
    <w:p>
      <w:pPr>
        <w:pStyle w:val="8"/>
        <w:rPr>
          <w:rFonts w:ascii="Calibri" w:hAnsi="Calibri"/>
          <w:sz w:val="21"/>
          <w:szCs w:val="22"/>
        </w:rPr>
      </w:pPr>
      <w:r>
        <w:fldChar w:fldCharType="begin"/>
      </w:r>
      <w:r>
        <w:instrText xml:space="preserve"> HYPERLINK \l "_Toc426445153" </w:instrText>
      </w:r>
      <w:r>
        <w:fldChar w:fldCharType="separate"/>
      </w:r>
      <w:r>
        <w:rPr>
          <w:rStyle w:val="19"/>
          <w:rFonts w:eastAsia="楷体_GB2312"/>
        </w:rPr>
        <w:t xml:space="preserve">5. </w:t>
      </w:r>
      <w:r>
        <w:rPr>
          <w:rStyle w:val="19"/>
          <w:rFonts w:hint="eastAsia" w:eastAsia="楷体_GB2312"/>
        </w:rPr>
        <w:t>推进信息技术应用</w:t>
      </w:r>
      <w:r>
        <w:tab/>
      </w:r>
      <w:r>
        <w:fldChar w:fldCharType="begin"/>
      </w:r>
      <w:r>
        <w:instrText xml:space="preserve"> PAGEREF _Toc426445153 \h </w:instrText>
      </w:r>
      <w:r>
        <w:fldChar w:fldCharType="separate"/>
      </w:r>
      <w:r>
        <w:t>5</w:t>
      </w:r>
      <w:r>
        <w:fldChar w:fldCharType="end"/>
      </w:r>
      <w:r>
        <w:fldChar w:fldCharType="end"/>
      </w:r>
    </w:p>
    <w:p>
      <w:pPr>
        <w:pStyle w:val="8"/>
        <w:rPr>
          <w:rFonts w:ascii="Calibri" w:hAnsi="Calibri"/>
          <w:sz w:val="21"/>
          <w:szCs w:val="22"/>
        </w:rPr>
      </w:pPr>
      <w:r>
        <w:fldChar w:fldCharType="begin"/>
      </w:r>
      <w:r>
        <w:instrText xml:space="preserve"> HYPERLINK \l "_Toc426445154" </w:instrText>
      </w:r>
      <w:r>
        <w:fldChar w:fldCharType="separate"/>
      </w:r>
      <w:r>
        <w:rPr>
          <w:rStyle w:val="19"/>
          <w:rFonts w:eastAsia="楷体_GB2312"/>
        </w:rPr>
        <w:t xml:space="preserve">6. </w:t>
      </w:r>
      <w:r>
        <w:rPr>
          <w:rStyle w:val="19"/>
          <w:rFonts w:hint="eastAsia" w:eastAsia="楷体_GB2312"/>
        </w:rPr>
        <w:t>完善高等职业教育结构</w:t>
      </w:r>
      <w:r>
        <w:tab/>
      </w:r>
      <w:r>
        <w:fldChar w:fldCharType="begin"/>
      </w:r>
      <w:r>
        <w:instrText xml:space="preserve"> PAGEREF _Toc426445154 \h </w:instrText>
      </w:r>
      <w:r>
        <w:fldChar w:fldCharType="separate"/>
      </w:r>
      <w:r>
        <w:t>6</w:t>
      </w:r>
      <w:r>
        <w:fldChar w:fldCharType="end"/>
      </w:r>
      <w:r>
        <w:fldChar w:fldCharType="end"/>
      </w:r>
    </w:p>
    <w:p>
      <w:pPr>
        <w:pStyle w:val="8"/>
        <w:rPr>
          <w:rFonts w:ascii="Calibri" w:hAnsi="Calibri"/>
          <w:sz w:val="21"/>
          <w:szCs w:val="22"/>
        </w:rPr>
      </w:pPr>
      <w:r>
        <w:fldChar w:fldCharType="begin"/>
      </w:r>
      <w:r>
        <w:instrText xml:space="preserve"> HYPERLINK \l "_Toc426445155" </w:instrText>
      </w:r>
      <w:r>
        <w:fldChar w:fldCharType="separate"/>
      </w:r>
      <w:r>
        <w:rPr>
          <w:rStyle w:val="19"/>
          <w:rFonts w:eastAsia="楷体_GB2312"/>
        </w:rPr>
        <w:t xml:space="preserve">7. </w:t>
      </w:r>
      <w:r>
        <w:rPr>
          <w:rStyle w:val="19"/>
          <w:rFonts w:hint="eastAsia" w:eastAsia="楷体_GB2312"/>
        </w:rPr>
        <w:t>推动职业教育集团化发展</w:t>
      </w:r>
      <w:r>
        <w:tab/>
      </w:r>
      <w:r>
        <w:fldChar w:fldCharType="begin"/>
      </w:r>
      <w:r>
        <w:instrText xml:space="preserve"> PAGEREF _Toc426445155 \h </w:instrText>
      </w:r>
      <w:r>
        <w:fldChar w:fldCharType="separate"/>
      </w:r>
      <w:r>
        <w:t>6</w:t>
      </w:r>
      <w:r>
        <w:fldChar w:fldCharType="end"/>
      </w:r>
      <w:r>
        <w:fldChar w:fldCharType="end"/>
      </w:r>
    </w:p>
    <w:p>
      <w:pPr>
        <w:pStyle w:val="8"/>
        <w:rPr>
          <w:rFonts w:ascii="Calibri" w:hAnsi="Calibri"/>
          <w:sz w:val="21"/>
          <w:szCs w:val="22"/>
        </w:rPr>
      </w:pPr>
      <w:r>
        <w:fldChar w:fldCharType="begin"/>
      </w:r>
      <w:r>
        <w:instrText xml:space="preserve"> HYPERLINK \l "_Toc426445156" </w:instrText>
      </w:r>
      <w:r>
        <w:fldChar w:fldCharType="separate"/>
      </w:r>
      <w:r>
        <w:rPr>
          <w:rStyle w:val="19"/>
          <w:rFonts w:eastAsia="楷体_GB2312"/>
        </w:rPr>
        <w:t xml:space="preserve">8. </w:t>
      </w:r>
      <w:r>
        <w:rPr>
          <w:rStyle w:val="19"/>
          <w:rFonts w:hint="eastAsia" w:eastAsia="楷体_GB2312"/>
        </w:rPr>
        <w:t>促进区域协调发展</w:t>
      </w:r>
      <w:r>
        <w:tab/>
      </w:r>
      <w:r>
        <w:fldChar w:fldCharType="begin"/>
      </w:r>
      <w:r>
        <w:instrText xml:space="preserve"> PAGEREF _Toc426445156 \h </w:instrText>
      </w:r>
      <w:r>
        <w:fldChar w:fldCharType="separate"/>
      </w:r>
      <w:r>
        <w:t>7</w:t>
      </w:r>
      <w:r>
        <w:fldChar w:fldCharType="end"/>
      </w:r>
      <w:r>
        <w:fldChar w:fldCharType="end"/>
      </w:r>
    </w:p>
    <w:p>
      <w:pPr>
        <w:pStyle w:val="16"/>
        <w:rPr>
          <w:rFonts w:ascii="Calibri" w:hAnsi="Calibri" w:eastAsia="宋体"/>
          <w:b w:val="0"/>
          <w:bCs w:val="0"/>
          <w:sz w:val="21"/>
          <w:szCs w:val="22"/>
        </w:rPr>
      </w:pPr>
      <w:r>
        <w:fldChar w:fldCharType="begin"/>
      </w:r>
      <w:r>
        <w:instrText xml:space="preserve"> HYPERLINK \l "_Toc426445157" </w:instrText>
      </w:r>
      <w:r>
        <w:fldChar w:fldCharType="separate"/>
      </w:r>
      <w:r>
        <w:rPr>
          <w:rStyle w:val="19"/>
          <w:rFonts w:hint="eastAsia" w:ascii="黑体" w:eastAsia="黑体"/>
        </w:rPr>
        <w:t>（二）增强院校办学活力</w:t>
      </w:r>
      <w:r>
        <w:tab/>
      </w:r>
      <w:r>
        <w:fldChar w:fldCharType="begin"/>
      </w:r>
      <w:r>
        <w:instrText xml:space="preserve"> PAGEREF _Toc426445157 \h </w:instrText>
      </w:r>
      <w:r>
        <w:fldChar w:fldCharType="separate"/>
      </w:r>
      <w:r>
        <w:t>7</w:t>
      </w:r>
      <w:r>
        <w:fldChar w:fldCharType="end"/>
      </w:r>
      <w:r>
        <w:fldChar w:fldCharType="end"/>
      </w:r>
    </w:p>
    <w:p>
      <w:pPr>
        <w:pStyle w:val="8"/>
        <w:rPr>
          <w:rFonts w:ascii="Calibri" w:hAnsi="Calibri"/>
          <w:sz w:val="21"/>
          <w:szCs w:val="22"/>
        </w:rPr>
      </w:pPr>
      <w:r>
        <w:fldChar w:fldCharType="begin"/>
      </w:r>
      <w:r>
        <w:instrText xml:space="preserve"> HYPERLINK \l "_Toc426445158" </w:instrText>
      </w:r>
      <w:r>
        <w:fldChar w:fldCharType="separate"/>
      </w:r>
      <w:r>
        <w:rPr>
          <w:rStyle w:val="19"/>
          <w:rFonts w:eastAsia="楷体_GB2312"/>
        </w:rPr>
        <w:t xml:space="preserve">1. </w:t>
      </w:r>
      <w:r>
        <w:rPr>
          <w:rStyle w:val="19"/>
          <w:rFonts w:hint="eastAsia" w:eastAsia="楷体_GB2312"/>
        </w:rPr>
        <w:t>推进分类考试招生</w:t>
      </w:r>
      <w:r>
        <w:tab/>
      </w:r>
      <w:r>
        <w:fldChar w:fldCharType="begin"/>
      </w:r>
      <w:r>
        <w:instrText xml:space="preserve"> PAGEREF _Toc426445158 \h </w:instrText>
      </w:r>
      <w:r>
        <w:fldChar w:fldCharType="separate"/>
      </w:r>
      <w:r>
        <w:t>7</w:t>
      </w:r>
      <w:r>
        <w:fldChar w:fldCharType="end"/>
      </w:r>
      <w:r>
        <w:fldChar w:fldCharType="end"/>
      </w:r>
    </w:p>
    <w:p>
      <w:pPr>
        <w:pStyle w:val="8"/>
        <w:rPr>
          <w:rFonts w:ascii="Calibri" w:hAnsi="Calibri"/>
          <w:sz w:val="21"/>
          <w:szCs w:val="22"/>
        </w:rPr>
      </w:pPr>
      <w:r>
        <w:fldChar w:fldCharType="begin"/>
      </w:r>
      <w:r>
        <w:instrText xml:space="preserve"> HYPERLINK \l "_Toc426445159" </w:instrText>
      </w:r>
      <w:r>
        <w:fldChar w:fldCharType="separate"/>
      </w:r>
      <w:r>
        <w:rPr>
          <w:rStyle w:val="19"/>
          <w:rFonts w:eastAsia="楷体_GB2312"/>
        </w:rPr>
        <w:t xml:space="preserve">2. </w:t>
      </w:r>
      <w:r>
        <w:rPr>
          <w:rStyle w:val="19"/>
          <w:rFonts w:hint="eastAsia" w:eastAsia="楷体_GB2312"/>
        </w:rPr>
        <w:t>建立学分积累与转换制度</w:t>
      </w:r>
      <w:r>
        <w:tab/>
      </w:r>
      <w:r>
        <w:fldChar w:fldCharType="begin"/>
      </w:r>
      <w:r>
        <w:instrText xml:space="preserve"> PAGEREF _Toc426445159 \h </w:instrText>
      </w:r>
      <w:r>
        <w:fldChar w:fldCharType="separate"/>
      </w:r>
      <w:r>
        <w:t>8</w:t>
      </w:r>
      <w:r>
        <w:fldChar w:fldCharType="end"/>
      </w:r>
      <w:r>
        <w:fldChar w:fldCharType="end"/>
      </w:r>
    </w:p>
    <w:p>
      <w:pPr>
        <w:pStyle w:val="8"/>
        <w:rPr>
          <w:rFonts w:ascii="Calibri" w:hAnsi="Calibri"/>
          <w:sz w:val="21"/>
          <w:szCs w:val="22"/>
        </w:rPr>
      </w:pPr>
      <w:r>
        <w:fldChar w:fldCharType="begin"/>
      </w:r>
      <w:r>
        <w:instrText xml:space="preserve"> HYPERLINK \l "_Toc426445160" </w:instrText>
      </w:r>
      <w:r>
        <w:fldChar w:fldCharType="separate"/>
      </w:r>
      <w:r>
        <w:rPr>
          <w:rStyle w:val="19"/>
          <w:rFonts w:eastAsia="楷体_GB2312"/>
        </w:rPr>
        <w:t xml:space="preserve">3. </w:t>
      </w:r>
      <w:r>
        <w:rPr>
          <w:rStyle w:val="19"/>
          <w:rFonts w:hint="eastAsia" w:eastAsia="楷体_GB2312"/>
        </w:rPr>
        <w:t>探索混合所有制办学</w:t>
      </w:r>
      <w:r>
        <w:tab/>
      </w:r>
      <w:r>
        <w:fldChar w:fldCharType="begin"/>
      </w:r>
      <w:r>
        <w:instrText xml:space="preserve"> PAGEREF _Toc426445160 \h </w:instrText>
      </w:r>
      <w:r>
        <w:fldChar w:fldCharType="separate"/>
      </w:r>
      <w:r>
        <w:t>8</w:t>
      </w:r>
      <w:r>
        <w:fldChar w:fldCharType="end"/>
      </w:r>
      <w:r>
        <w:fldChar w:fldCharType="end"/>
      </w:r>
    </w:p>
    <w:p>
      <w:pPr>
        <w:pStyle w:val="8"/>
        <w:rPr>
          <w:rFonts w:ascii="Calibri" w:hAnsi="Calibri"/>
          <w:sz w:val="21"/>
          <w:szCs w:val="22"/>
        </w:rPr>
      </w:pPr>
      <w:r>
        <w:fldChar w:fldCharType="begin"/>
      </w:r>
      <w:r>
        <w:instrText xml:space="preserve"> HYPERLINK \l "_Toc426445161" </w:instrText>
      </w:r>
      <w:r>
        <w:fldChar w:fldCharType="separate"/>
      </w:r>
      <w:r>
        <w:rPr>
          <w:rStyle w:val="19"/>
          <w:rFonts w:eastAsia="楷体_GB2312"/>
        </w:rPr>
        <w:t xml:space="preserve">4. </w:t>
      </w:r>
      <w:r>
        <w:rPr>
          <w:rStyle w:val="19"/>
          <w:rFonts w:hint="eastAsia" w:eastAsia="楷体_GB2312"/>
        </w:rPr>
        <w:t>鼓励行业参与职业教育</w:t>
      </w:r>
      <w:r>
        <w:tab/>
      </w:r>
      <w:r>
        <w:fldChar w:fldCharType="begin"/>
      </w:r>
      <w:r>
        <w:instrText xml:space="preserve"> PAGEREF _Toc426445161 \h </w:instrText>
      </w:r>
      <w:r>
        <w:fldChar w:fldCharType="separate"/>
      </w:r>
      <w:r>
        <w:t>8</w:t>
      </w:r>
      <w:r>
        <w:fldChar w:fldCharType="end"/>
      </w:r>
      <w:r>
        <w:fldChar w:fldCharType="end"/>
      </w:r>
    </w:p>
    <w:p>
      <w:pPr>
        <w:pStyle w:val="8"/>
        <w:rPr>
          <w:rFonts w:ascii="Calibri" w:hAnsi="Calibri"/>
          <w:sz w:val="21"/>
          <w:szCs w:val="22"/>
        </w:rPr>
      </w:pPr>
      <w:r>
        <w:fldChar w:fldCharType="begin"/>
      </w:r>
      <w:r>
        <w:instrText xml:space="preserve"> HYPERLINK \l "_Toc426445162" </w:instrText>
      </w:r>
      <w:r>
        <w:fldChar w:fldCharType="separate"/>
      </w:r>
      <w:r>
        <w:rPr>
          <w:rStyle w:val="19"/>
          <w:rFonts w:eastAsia="楷体_GB2312"/>
        </w:rPr>
        <w:t xml:space="preserve">5. </w:t>
      </w:r>
      <w:r>
        <w:rPr>
          <w:rStyle w:val="19"/>
          <w:rFonts w:hint="eastAsia" w:eastAsia="楷体_GB2312"/>
        </w:rPr>
        <w:t>发挥企业办学主体作用</w:t>
      </w:r>
      <w:r>
        <w:tab/>
      </w:r>
      <w:r>
        <w:fldChar w:fldCharType="begin"/>
      </w:r>
      <w:r>
        <w:instrText xml:space="preserve"> PAGEREF _Toc426445162 \h </w:instrText>
      </w:r>
      <w:r>
        <w:fldChar w:fldCharType="separate"/>
      </w:r>
      <w:r>
        <w:t>9</w:t>
      </w:r>
      <w:r>
        <w:fldChar w:fldCharType="end"/>
      </w:r>
      <w:r>
        <w:fldChar w:fldCharType="end"/>
      </w:r>
    </w:p>
    <w:p>
      <w:pPr>
        <w:pStyle w:val="8"/>
        <w:rPr>
          <w:rFonts w:ascii="Calibri" w:hAnsi="Calibri"/>
          <w:sz w:val="21"/>
          <w:szCs w:val="22"/>
        </w:rPr>
      </w:pPr>
      <w:r>
        <w:fldChar w:fldCharType="begin"/>
      </w:r>
      <w:r>
        <w:instrText xml:space="preserve"> HYPERLINK \l "_Toc426445163" </w:instrText>
      </w:r>
      <w:r>
        <w:fldChar w:fldCharType="separate"/>
      </w:r>
      <w:r>
        <w:rPr>
          <w:rStyle w:val="19"/>
          <w:rFonts w:eastAsia="楷体_GB2312"/>
        </w:rPr>
        <w:t xml:space="preserve">6. </w:t>
      </w:r>
      <w:r>
        <w:rPr>
          <w:rStyle w:val="19"/>
          <w:rFonts w:hint="eastAsia" w:eastAsia="楷体_GB2312"/>
        </w:rPr>
        <w:t>落实高等职业院校办学自主权</w:t>
      </w:r>
      <w:r>
        <w:tab/>
      </w:r>
      <w:r>
        <w:fldChar w:fldCharType="begin"/>
      </w:r>
      <w:r>
        <w:instrText xml:space="preserve"> PAGEREF _Toc426445163 \h </w:instrText>
      </w:r>
      <w:r>
        <w:fldChar w:fldCharType="separate"/>
      </w:r>
      <w:r>
        <w:t>9</w:t>
      </w:r>
      <w:r>
        <w:fldChar w:fldCharType="end"/>
      </w:r>
      <w:r>
        <w:fldChar w:fldCharType="end"/>
      </w:r>
    </w:p>
    <w:p>
      <w:pPr>
        <w:pStyle w:val="8"/>
        <w:rPr>
          <w:rFonts w:ascii="Calibri" w:hAnsi="Calibri"/>
          <w:sz w:val="21"/>
          <w:szCs w:val="22"/>
        </w:rPr>
      </w:pPr>
      <w:r>
        <w:fldChar w:fldCharType="begin"/>
      </w:r>
      <w:r>
        <w:instrText xml:space="preserve"> HYPERLINK \l "_Toc426445164" </w:instrText>
      </w:r>
      <w:r>
        <w:fldChar w:fldCharType="separate"/>
      </w:r>
      <w:r>
        <w:rPr>
          <w:rStyle w:val="19"/>
          <w:rFonts w:eastAsia="楷体_GB2312"/>
        </w:rPr>
        <w:t xml:space="preserve">7. </w:t>
      </w:r>
      <w:r>
        <w:rPr>
          <w:rStyle w:val="19"/>
          <w:rFonts w:hint="eastAsia" w:eastAsia="楷体_GB2312"/>
        </w:rPr>
        <w:t>支持民办教育发展</w:t>
      </w:r>
      <w:r>
        <w:tab/>
      </w:r>
      <w:r>
        <w:fldChar w:fldCharType="begin"/>
      </w:r>
      <w:r>
        <w:instrText xml:space="preserve"> PAGEREF _Toc426445164 \h </w:instrText>
      </w:r>
      <w:r>
        <w:fldChar w:fldCharType="separate"/>
      </w:r>
      <w:r>
        <w:t>10</w:t>
      </w:r>
      <w:r>
        <w:fldChar w:fldCharType="end"/>
      </w:r>
      <w:r>
        <w:fldChar w:fldCharType="end"/>
      </w:r>
    </w:p>
    <w:p>
      <w:pPr>
        <w:pStyle w:val="8"/>
        <w:rPr>
          <w:rFonts w:ascii="Calibri" w:hAnsi="Calibri"/>
          <w:sz w:val="21"/>
          <w:szCs w:val="22"/>
        </w:rPr>
      </w:pPr>
      <w:r>
        <w:fldChar w:fldCharType="begin"/>
      </w:r>
      <w:r>
        <w:instrText xml:space="preserve"> HYPERLINK \l "_Toc426445165" </w:instrText>
      </w:r>
      <w:r>
        <w:fldChar w:fldCharType="separate"/>
      </w:r>
      <w:r>
        <w:rPr>
          <w:rStyle w:val="19"/>
        </w:rPr>
        <w:t>8</w:t>
      </w:r>
      <w:r>
        <w:rPr>
          <w:rStyle w:val="19"/>
          <w:rFonts w:eastAsia="楷体_GB2312"/>
        </w:rPr>
        <w:t xml:space="preserve">. </w:t>
      </w:r>
      <w:r>
        <w:rPr>
          <w:rStyle w:val="19"/>
          <w:rFonts w:hint="eastAsia" w:eastAsia="楷体_GB2312"/>
        </w:rPr>
        <w:t>服务社区教育和终身学习</w:t>
      </w:r>
      <w:r>
        <w:tab/>
      </w:r>
      <w:r>
        <w:fldChar w:fldCharType="begin"/>
      </w:r>
      <w:r>
        <w:instrText xml:space="preserve"> PAGEREF _Toc426445165 \h </w:instrText>
      </w:r>
      <w:r>
        <w:fldChar w:fldCharType="separate"/>
      </w:r>
      <w:r>
        <w:t>10</w:t>
      </w:r>
      <w:r>
        <w:fldChar w:fldCharType="end"/>
      </w:r>
      <w:r>
        <w:fldChar w:fldCharType="end"/>
      </w:r>
    </w:p>
    <w:p>
      <w:pPr>
        <w:pStyle w:val="16"/>
        <w:rPr>
          <w:rFonts w:ascii="Calibri" w:hAnsi="Calibri" w:eastAsia="宋体"/>
          <w:b w:val="0"/>
          <w:bCs w:val="0"/>
          <w:sz w:val="21"/>
          <w:szCs w:val="22"/>
        </w:rPr>
      </w:pPr>
      <w:r>
        <w:fldChar w:fldCharType="begin"/>
      </w:r>
      <w:r>
        <w:instrText xml:space="preserve"> HYPERLINK \l "_Toc426445166" </w:instrText>
      </w:r>
      <w:r>
        <w:fldChar w:fldCharType="separate"/>
      </w:r>
      <w:r>
        <w:rPr>
          <w:rStyle w:val="19"/>
          <w:rFonts w:hint="eastAsia" w:ascii="黑体" w:eastAsia="黑体"/>
        </w:rPr>
        <w:t>（三）加强技术技能积累</w:t>
      </w:r>
      <w:r>
        <w:tab/>
      </w:r>
      <w:r>
        <w:fldChar w:fldCharType="begin"/>
      </w:r>
      <w:r>
        <w:instrText xml:space="preserve"> PAGEREF _Toc426445166 \h </w:instrText>
      </w:r>
      <w:r>
        <w:fldChar w:fldCharType="separate"/>
      </w:r>
      <w:r>
        <w:t>11</w:t>
      </w:r>
      <w:r>
        <w:fldChar w:fldCharType="end"/>
      </w:r>
      <w:r>
        <w:fldChar w:fldCharType="end"/>
      </w:r>
    </w:p>
    <w:p>
      <w:pPr>
        <w:pStyle w:val="8"/>
        <w:rPr>
          <w:rFonts w:ascii="Calibri" w:hAnsi="Calibri"/>
          <w:sz w:val="21"/>
          <w:szCs w:val="22"/>
        </w:rPr>
      </w:pPr>
      <w:r>
        <w:fldChar w:fldCharType="begin"/>
      </w:r>
      <w:r>
        <w:instrText xml:space="preserve"> HYPERLINK \l "_Toc426445167" </w:instrText>
      </w:r>
      <w:r>
        <w:fldChar w:fldCharType="separate"/>
      </w:r>
      <w:r>
        <w:rPr>
          <w:rStyle w:val="19"/>
          <w:rFonts w:eastAsia="楷体_GB2312"/>
        </w:rPr>
        <w:t xml:space="preserve">1. </w:t>
      </w:r>
      <w:r>
        <w:rPr>
          <w:rStyle w:val="19"/>
          <w:rFonts w:hint="eastAsia" w:eastAsia="楷体_GB2312"/>
        </w:rPr>
        <w:t>服务产业转型升级</w:t>
      </w:r>
      <w:r>
        <w:tab/>
      </w:r>
      <w:r>
        <w:fldChar w:fldCharType="begin"/>
      </w:r>
      <w:r>
        <w:instrText xml:space="preserve"> PAGEREF _Toc426445167 \h </w:instrText>
      </w:r>
      <w:r>
        <w:fldChar w:fldCharType="separate"/>
      </w:r>
      <w:r>
        <w:t>11</w:t>
      </w:r>
      <w:r>
        <w:fldChar w:fldCharType="end"/>
      </w:r>
      <w:r>
        <w:fldChar w:fldCharType="end"/>
      </w:r>
    </w:p>
    <w:p>
      <w:pPr>
        <w:pStyle w:val="8"/>
        <w:rPr>
          <w:rFonts w:ascii="Calibri" w:hAnsi="Calibri"/>
          <w:sz w:val="21"/>
          <w:szCs w:val="22"/>
        </w:rPr>
      </w:pPr>
      <w:r>
        <w:fldChar w:fldCharType="begin"/>
      </w:r>
      <w:r>
        <w:instrText xml:space="preserve"> HYPERLINK \l "_Toc426445168" </w:instrText>
      </w:r>
      <w:r>
        <w:fldChar w:fldCharType="separate"/>
      </w:r>
      <w:r>
        <w:rPr>
          <w:rStyle w:val="19"/>
          <w:rFonts w:eastAsia="楷体_GB2312"/>
        </w:rPr>
        <w:t xml:space="preserve">2. </w:t>
      </w:r>
      <w:r>
        <w:rPr>
          <w:rStyle w:val="19"/>
          <w:rFonts w:hint="eastAsia" w:eastAsia="楷体_GB2312"/>
        </w:rPr>
        <w:t>支持优质产能“走出去”</w:t>
      </w:r>
      <w:r>
        <w:tab/>
      </w:r>
      <w:r>
        <w:fldChar w:fldCharType="begin"/>
      </w:r>
      <w:r>
        <w:instrText xml:space="preserve"> PAGEREF _Toc426445168 \h </w:instrText>
      </w:r>
      <w:r>
        <w:fldChar w:fldCharType="separate"/>
      </w:r>
      <w:r>
        <w:t>11</w:t>
      </w:r>
      <w:r>
        <w:fldChar w:fldCharType="end"/>
      </w:r>
      <w:r>
        <w:fldChar w:fldCharType="end"/>
      </w:r>
    </w:p>
    <w:p>
      <w:pPr>
        <w:pStyle w:val="8"/>
        <w:rPr>
          <w:rFonts w:ascii="Calibri" w:hAnsi="Calibri"/>
          <w:sz w:val="21"/>
          <w:szCs w:val="22"/>
        </w:rPr>
      </w:pPr>
      <w:r>
        <w:fldChar w:fldCharType="begin"/>
      </w:r>
      <w:r>
        <w:instrText xml:space="preserve"> HYPERLINK \l "_Toc426445169" </w:instrText>
      </w:r>
      <w:r>
        <w:fldChar w:fldCharType="separate"/>
      </w:r>
      <w:r>
        <w:rPr>
          <w:rStyle w:val="19"/>
          <w:rFonts w:eastAsia="楷体_GB2312"/>
        </w:rPr>
        <w:t xml:space="preserve">3. </w:t>
      </w:r>
      <w:r>
        <w:rPr>
          <w:rStyle w:val="19"/>
          <w:rFonts w:hint="eastAsia" w:eastAsia="楷体_GB2312"/>
        </w:rPr>
        <w:t>深化校企合作发展</w:t>
      </w:r>
      <w:r>
        <w:tab/>
      </w:r>
      <w:r>
        <w:fldChar w:fldCharType="begin"/>
      </w:r>
      <w:r>
        <w:instrText xml:space="preserve"> PAGEREF _Toc426445169 \h </w:instrText>
      </w:r>
      <w:r>
        <w:fldChar w:fldCharType="separate"/>
      </w:r>
      <w:r>
        <w:t>12</w:t>
      </w:r>
      <w:r>
        <w:fldChar w:fldCharType="end"/>
      </w:r>
      <w:r>
        <w:fldChar w:fldCharType="end"/>
      </w:r>
    </w:p>
    <w:p>
      <w:pPr>
        <w:pStyle w:val="8"/>
        <w:rPr>
          <w:rFonts w:ascii="Calibri" w:hAnsi="Calibri"/>
          <w:sz w:val="21"/>
          <w:szCs w:val="22"/>
        </w:rPr>
      </w:pPr>
      <w:r>
        <w:fldChar w:fldCharType="begin"/>
      </w:r>
      <w:r>
        <w:instrText xml:space="preserve"> HYPERLINK \l "_Toc426445170" </w:instrText>
      </w:r>
      <w:r>
        <w:fldChar w:fldCharType="separate"/>
      </w:r>
      <w:r>
        <w:rPr>
          <w:rStyle w:val="19"/>
          <w:rFonts w:eastAsia="楷体_GB2312"/>
        </w:rPr>
        <w:t xml:space="preserve">4. </w:t>
      </w:r>
      <w:r>
        <w:rPr>
          <w:rStyle w:val="19"/>
          <w:rFonts w:hint="eastAsia" w:eastAsia="楷体_GB2312"/>
        </w:rPr>
        <w:t>加强创新创业教育</w:t>
      </w:r>
      <w:r>
        <w:tab/>
      </w:r>
      <w:r>
        <w:fldChar w:fldCharType="begin"/>
      </w:r>
      <w:r>
        <w:instrText xml:space="preserve"> PAGEREF _Toc426445170 \h </w:instrText>
      </w:r>
      <w:r>
        <w:fldChar w:fldCharType="separate"/>
      </w:r>
      <w:r>
        <w:t>12</w:t>
      </w:r>
      <w:r>
        <w:fldChar w:fldCharType="end"/>
      </w:r>
      <w:r>
        <w:fldChar w:fldCharType="end"/>
      </w:r>
    </w:p>
    <w:p>
      <w:pPr>
        <w:pStyle w:val="8"/>
        <w:rPr>
          <w:rFonts w:ascii="Calibri" w:hAnsi="Calibri"/>
          <w:sz w:val="21"/>
          <w:szCs w:val="22"/>
        </w:rPr>
      </w:pPr>
      <w:r>
        <w:fldChar w:fldCharType="begin"/>
      </w:r>
      <w:r>
        <w:instrText xml:space="preserve"> HYPERLINK \l "_Toc426445171" </w:instrText>
      </w:r>
      <w:r>
        <w:fldChar w:fldCharType="separate"/>
      </w:r>
      <w:r>
        <w:rPr>
          <w:rStyle w:val="19"/>
          <w:rFonts w:eastAsia="楷体_GB2312"/>
        </w:rPr>
        <w:t xml:space="preserve">5. </w:t>
      </w:r>
      <w:r>
        <w:rPr>
          <w:rStyle w:val="19"/>
          <w:rFonts w:hint="eastAsia" w:eastAsia="楷体_GB2312"/>
        </w:rPr>
        <w:t>开展现代学徒制培养</w:t>
      </w:r>
      <w:r>
        <w:tab/>
      </w:r>
      <w:r>
        <w:fldChar w:fldCharType="begin"/>
      </w:r>
      <w:r>
        <w:instrText xml:space="preserve"> PAGEREF _Toc426445171 \h </w:instrText>
      </w:r>
      <w:r>
        <w:fldChar w:fldCharType="separate"/>
      </w:r>
      <w:r>
        <w:t>13</w:t>
      </w:r>
      <w:r>
        <w:fldChar w:fldCharType="end"/>
      </w:r>
      <w:r>
        <w:fldChar w:fldCharType="end"/>
      </w:r>
    </w:p>
    <w:p>
      <w:pPr>
        <w:pStyle w:val="8"/>
        <w:rPr>
          <w:rFonts w:ascii="Calibri" w:hAnsi="Calibri"/>
          <w:sz w:val="21"/>
          <w:szCs w:val="22"/>
        </w:rPr>
      </w:pPr>
      <w:r>
        <w:fldChar w:fldCharType="begin"/>
      </w:r>
      <w:r>
        <w:instrText xml:space="preserve"> HYPERLINK \l "_Toc426445172" </w:instrText>
      </w:r>
      <w:r>
        <w:fldChar w:fldCharType="separate"/>
      </w:r>
      <w:r>
        <w:rPr>
          <w:rStyle w:val="19"/>
          <w:rFonts w:eastAsia="楷体_GB2312"/>
        </w:rPr>
        <w:t xml:space="preserve">6. </w:t>
      </w:r>
      <w:r>
        <w:rPr>
          <w:rStyle w:val="19"/>
          <w:rFonts w:hint="eastAsia" w:eastAsia="楷体_GB2312"/>
        </w:rPr>
        <w:t>培育新型职业农民</w:t>
      </w:r>
      <w:r>
        <w:tab/>
      </w:r>
      <w:r>
        <w:fldChar w:fldCharType="begin"/>
      </w:r>
      <w:r>
        <w:instrText xml:space="preserve"> PAGEREF _Toc426445172 \h </w:instrText>
      </w:r>
      <w:r>
        <w:fldChar w:fldCharType="separate"/>
      </w:r>
      <w:r>
        <w:t>13</w:t>
      </w:r>
      <w:r>
        <w:fldChar w:fldCharType="end"/>
      </w:r>
      <w:r>
        <w:fldChar w:fldCharType="end"/>
      </w:r>
    </w:p>
    <w:p>
      <w:pPr>
        <w:pStyle w:val="8"/>
        <w:rPr>
          <w:rFonts w:ascii="Calibri" w:hAnsi="Calibri"/>
          <w:sz w:val="21"/>
          <w:szCs w:val="22"/>
        </w:rPr>
      </w:pPr>
      <w:r>
        <w:fldChar w:fldCharType="begin"/>
      </w:r>
      <w:r>
        <w:instrText xml:space="preserve"> HYPERLINK \l "_Toc426445173" </w:instrText>
      </w:r>
      <w:r>
        <w:fldChar w:fldCharType="separate"/>
      </w:r>
      <w:r>
        <w:rPr>
          <w:rStyle w:val="19"/>
          <w:rFonts w:eastAsia="楷体_GB2312"/>
        </w:rPr>
        <w:t xml:space="preserve">7. </w:t>
      </w:r>
      <w:r>
        <w:rPr>
          <w:rStyle w:val="19"/>
          <w:rFonts w:hint="eastAsia" w:eastAsia="楷体_GB2312"/>
        </w:rPr>
        <w:t>促进文化传承创新与传播</w:t>
      </w:r>
      <w:r>
        <w:tab/>
      </w:r>
      <w:r>
        <w:fldChar w:fldCharType="begin"/>
      </w:r>
      <w:r>
        <w:instrText xml:space="preserve"> PAGEREF _Toc426445173 \h </w:instrText>
      </w:r>
      <w:r>
        <w:fldChar w:fldCharType="separate"/>
      </w:r>
      <w:r>
        <w:t>14</w:t>
      </w:r>
      <w:r>
        <w:fldChar w:fldCharType="end"/>
      </w:r>
      <w:r>
        <w:fldChar w:fldCharType="end"/>
      </w:r>
    </w:p>
    <w:p>
      <w:pPr>
        <w:pStyle w:val="8"/>
        <w:rPr>
          <w:rFonts w:ascii="Calibri" w:hAnsi="Calibri"/>
          <w:sz w:val="21"/>
          <w:szCs w:val="22"/>
        </w:rPr>
      </w:pPr>
      <w:r>
        <w:fldChar w:fldCharType="begin"/>
      </w:r>
      <w:r>
        <w:instrText xml:space="preserve"> HYPERLINK \l "_Toc426445174" </w:instrText>
      </w:r>
      <w:r>
        <w:fldChar w:fldCharType="separate"/>
      </w:r>
      <w:r>
        <w:rPr>
          <w:rStyle w:val="19"/>
          <w:rFonts w:eastAsia="楷体_GB2312"/>
        </w:rPr>
        <w:t xml:space="preserve">8. </w:t>
      </w:r>
      <w:r>
        <w:rPr>
          <w:rStyle w:val="19"/>
          <w:rFonts w:hint="eastAsia" w:eastAsia="楷体_GB2312"/>
        </w:rPr>
        <w:t>扩大职业教育国际影响</w:t>
      </w:r>
      <w:r>
        <w:tab/>
      </w:r>
      <w:r>
        <w:fldChar w:fldCharType="begin"/>
      </w:r>
      <w:r>
        <w:instrText xml:space="preserve"> PAGEREF _Toc426445174 \h </w:instrText>
      </w:r>
      <w:r>
        <w:fldChar w:fldCharType="separate"/>
      </w:r>
      <w:r>
        <w:t>14</w:t>
      </w:r>
      <w:r>
        <w:fldChar w:fldCharType="end"/>
      </w:r>
      <w:r>
        <w:fldChar w:fldCharType="end"/>
      </w:r>
    </w:p>
    <w:p>
      <w:pPr>
        <w:pStyle w:val="16"/>
        <w:rPr>
          <w:rFonts w:ascii="Calibri" w:hAnsi="Calibri" w:eastAsia="宋体"/>
          <w:b w:val="0"/>
          <w:bCs w:val="0"/>
          <w:sz w:val="21"/>
          <w:szCs w:val="22"/>
        </w:rPr>
      </w:pPr>
      <w:r>
        <w:fldChar w:fldCharType="begin"/>
      </w:r>
      <w:r>
        <w:instrText xml:space="preserve"> HYPERLINK \l "_Toc426445175" </w:instrText>
      </w:r>
      <w:r>
        <w:fldChar w:fldCharType="separate"/>
      </w:r>
      <w:r>
        <w:rPr>
          <w:rStyle w:val="19"/>
          <w:rFonts w:hint="eastAsia" w:ascii="黑体" w:eastAsia="黑体"/>
        </w:rPr>
        <w:t>（四）完善质量保障机制</w:t>
      </w:r>
      <w:r>
        <w:tab/>
      </w:r>
      <w:r>
        <w:fldChar w:fldCharType="begin"/>
      </w:r>
      <w:r>
        <w:instrText xml:space="preserve"> PAGEREF _Toc426445175 \h </w:instrText>
      </w:r>
      <w:r>
        <w:fldChar w:fldCharType="separate"/>
      </w:r>
      <w:r>
        <w:t>15</w:t>
      </w:r>
      <w:r>
        <w:fldChar w:fldCharType="end"/>
      </w:r>
      <w:r>
        <w:fldChar w:fldCharType="end"/>
      </w:r>
    </w:p>
    <w:p>
      <w:pPr>
        <w:pStyle w:val="8"/>
        <w:rPr>
          <w:rFonts w:ascii="Calibri" w:hAnsi="Calibri"/>
          <w:sz w:val="21"/>
          <w:szCs w:val="22"/>
        </w:rPr>
      </w:pPr>
      <w:r>
        <w:fldChar w:fldCharType="begin"/>
      </w:r>
      <w:r>
        <w:instrText xml:space="preserve"> HYPERLINK \l "_Toc426445176" </w:instrText>
      </w:r>
      <w:r>
        <w:fldChar w:fldCharType="separate"/>
      </w:r>
      <w:r>
        <w:rPr>
          <w:rStyle w:val="19"/>
          <w:rFonts w:eastAsia="楷体_GB2312"/>
        </w:rPr>
        <w:t xml:space="preserve">1. </w:t>
      </w:r>
      <w:r>
        <w:rPr>
          <w:rStyle w:val="19"/>
          <w:rFonts w:hint="eastAsia" w:eastAsia="楷体_GB2312"/>
        </w:rPr>
        <w:t>提高经费保障水平</w:t>
      </w:r>
      <w:r>
        <w:tab/>
      </w:r>
      <w:r>
        <w:fldChar w:fldCharType="begin"/>
      </w:r>
      <w:r>
        <w:instrText xml:space="preserve"> PAGEREF _Toc426445176 \h </w:instrText>
      </w:r>
      <w:r>
        <w:fldChar w:fldCharType="separate"/>
      </w:r>
      <w:r>
        <w:t>15</w:t>
      </w:r>
      <w:r>
        <w:fldChar w:fldCharType="end"/>
      </w:r>
      <w:r>
        <w:fldChar w:fldCharType="end"/>
      </w:r>
    </w:p>
    <w:p>
      <w:pPr>
        <w:pStyle w:val="8"/>
        <w:rPr>
          <w:rFonts w:ascii="Calibri" w:hAnsi="Calibri"/>
          <w:sz w:val="21"/>
          <w:szCs w:val="22"/>
        </w:rPr>
      </w:pPr>
      <w:r>
        <w:fldChar w:fldCharType="begin"/>
      </w:r>
      <w:r>
        <w:instrText xml:space="preserve"> HYPERLINK \l "_Toc426445177" </w:instrText>
      </w:r>
      <w:r>
        <w:fldChar w:fldCharType="separate"/>
      </w:r>
      <w:r>
        <w:rPr>
          <w:rStyle w:val="19"/>
          <w:rFonts w:eastAsia="楷体_GB2312"/>
        </w:rPr>
        <w:t xml:space="preserve">2. </w:t>
      </w:r>
      <w:r>
        <w:rPr>
          <w:rStyle w:val="19"/>
          <w:rFonts w:hint="eastAsia" w:eastAsia="楷体_GB2312"/>
        </w:rPr>
        <w:t>完善院校治理结构</w:t>
      </w:r>
      <w:r>
        <w:tab/>
      </w:r>
      <w:r>
        <w:fldChar w:fldCharType="begin"/>
      </w:r>
      <w:r>
        <w:instrText xml:space="preserve"> PAGEREF _Toc426445177 \h </w:instrText>
      </w:r>
      <w:r>
        <w:fldChar w:fldCharType="separate"/>
      </w:r>
      <w:r>
        <w:t>15</w:t>
      </w:r>
      <w:r>
        <w:fldChar w:fldCharType="end"/>
      </w:r>
      <w:r>
        <w:fldChar w:fldCharType="end"/>
      </w:r>
    </w:p>
    <w:p>
      <w:pPr>
        <w:pStyle w:val="8"/>
        <w:rPr>
          <w:rFonts w:ascii="Calibri" w:hAnsi="Calibri"/>
          <w:sz w:val="21"/>
          <w:szCs w:val="22"/>
        </w:rPr>
      </w:pPr>
      <w:r>
        <w:fldChar w:fldCharType="begin"/>
      </w:r>
      <w:r>
        <w:instrText xml:space="preserve"> HYPERLINK \l "_Toc426445178" </w:instrText>
      </w:r>
      <w:r>
        <w:fldChar w:fldCharType="separate"/>
      </w:r>
      <w:r>
        <w:rPr>
          <w:rStyle w:val="19"/>
          <w:rFonts w:eastAsia="楷体_GB2312"/>
        </w:rPr>
        <w:t xml:space="preserve">3. </w:t>
      </w:r>
      <w:r>
        <w:rPr>
          <w:rStyle w:val="19"/>
          <w:rFonts w:hint="eastAsia" w:eastAsia="楷体_GB2312"/>
        </w:rPr>
        <w:t>完善质量年报制度</w:t>
      </w:r>
      <w:r>
        <w:tab/>
      </w:r>
      <w:r>
        <w:fldChar w:fldCharType="begin"/>
      </w:r>
      <w:r>
        <w:instrText xml:space="preserve"> PAGEREF _Toc426445178 \h </w:instrText>
      </w:r>
      <w:r>
        <w:fldChar w:fldCharType="separate"/>
      </w:r>
      <w:r>
        <w:t>16</w:t>
      </w:r>
      <w:r>
        <w:fldChar w:fldCharType="end"/>
      </w:r>
      <w:r>
        <w:fldChar w:fldCharType="end"/>
      </w:r>
    </w:p>
    <w:p>
      <w:pPr>
        <w:pStyle w:val="8"/>
        <w:rPr>
          <w:rFonts w:ascii="Calibri" w:hAnsi="Calibri"/>
          <w:sz w:val="21"/>
          <w:szCs w:val="22"/>
        </w:rPr>
      </w:pPr>
      <w:r>
        <w:fldChar w:fldCharType="begin"/>
      </w:r>
      <w:r>
        <w:instrText xml:space="preserve"> HYPERLINK \l "_Toc426445179" </w:instrText>
      </w:r>
      <w:r>
        <w:fldChar w:fldCharType="separate"/>
      </w:r>
      <w:r>
        <w:rPr>
          <w:rStyle w:val="19"/>
          <w:rFonts w:eastAsia="楷体_GB2312"/>
        </w:rPr>
        <w:t xml:space="preserve">4. </w:t>
      </w:r>
      <w:r>
        <w:rPr>
          <w:rStyle w:val="19"/>
          <w:rFonts w:hint="eastAsia" w:eastAsia="楷体_GB2312"/>
        </w:rPr>
        <w:t>建立诊断改进机制</w:t>
      </w:r>
      <w:r>
        <w:tab/>
      </w:r>
      <w:r>
        <w:fldChar w:fldCharType="begin"/>
      </w:r>
      <w:r>
        <w:instrText xml:space="preserve"> PAGEREF _Toc426445179 \h </w:instrText>
      </w:r>
      <w:r>
        <w:fldChar w:fldCharType="separate"/>
      </w:r>
      <w:r>
        <w:t>16</w:t>
      </w:r>
      <w:r>
        <w:fldChar w:fldCharType="end"/>
      </w:r>
      <w:r>
        <w:fldChar w:fldCharType="end"/>
      </w:r>
    </w:p>
    <w:p>
      <w:pPr>
        <w:pStyle w:val="8"/>
        <w:rPr>
          <w:rFonts w:ascii="Calibri" w:hAnsi="Calibri"/>
          <w:sz w:val="21"/>
          <w:szCs w:val="22"/>
        </w:rPr>
      </w:pPr>
      <w:r>
        <w:fldChar w:fldCharType="begin"/>
      </w:r>
      <w:r>
        <w:instrText xml:space="preserve"> HYPERLINK \l "_Toc426445180" </w:instrText>
      </w:r>
      <w:r>
        <w:fldChar w:fldCharType="separate"/>
      </w:r>
      <w:r>
        <w:rPr>
          <w:rStyle w:val="19"/>
          <w:rFonts w:eastAsia="楷体_GB2312"/>
        </w:rPr>
        <w:t xml:space="preserve">5. </w:t>
      </w:r>
      <w:r>
        <w:rPr>
          <w:rStyle w:val="19"/>
          <w:rFonts w:hint="eastAsia" w:eastAsia="楷体_GB2312"/>
        </w:rPr>
        <w:t>改进高职教师管理</w:t>
      </w:r>
      <w:r>
        <w:tab/>
      </w:r>
      <w:r>
        <w:fldChar w:fldCharType="begin"/>
      </w:r>
      <w:r>
        <w:instrText xml:space="preserve"> PAGEREF _Toc426445180 \h </w:instrText>
      </w:r>
      <w:r>
        <w:fldChar w:fldCharType="separate"/>
      </w:r>
      <w:r>
        <w:t>17</w:t>
      </w:r>
      <w:r>
        <w:fldChar w:fldCharType="end"/>
      </w:r>
      <w:r>
        <w:fldChar w:fldCharType="end"/>
      </w:r>
    </w:p>
    <w:p>
      <w:pPr>
        <w:pStyle w:val="8"/>
        <w:rPr>
          <w:rFonts w:ascii="Calibri" w:hAnsi="Calibri"/>
          <w:sz w:val="21"/>
          <w:szCs w:val="22"/>
        </w:rPr>
      </w:pPr>
      <w:r>
        <w:fldChar w:fldCharType="begin"/>
      </w:r>
      <w:r>
        <w:instrText xml:space="preserve"> HYPERLINK \l "_Toc426445181" </w:instrText>
      </w:r>
      <w:r>
        <w:fldChar w:fldCharType="separate"/>
      </w:r>
      <w:r>
        <w:rPr>
          <w:rStyle w:val="19"/>
          <w:rFonts w:eastAsia="楷体_GB2312"/>
        </w:rPr>
        <w:t xml:space="preserve">6. </w:t>
      </w:r>
      <w:r>
        <w:rPr>
          <w:rStyle w:val="19"/>
          <w:rFonts w:hint="eastAsia" w:eastAsia="楷体_GB2312"/>
        </w:rPr>
        <w:t>加强相关理论研究</w:t>
      </w:r>
      <w:r>
        <w:tab/>
      </w:r>
      <w:r>
        <w:fldChar w:fldCharType="begin"/>
      </w:r>
      <w:r>
        <w:instrText xml:space="preserve"> PAGEREF _Toc426445181 \h </w:instrText>
      </w:r>
      <w:r>
        <w:fldChar w:fldCharType="separate"/>
      </w:r>
      <w:r>
        <w:t>17</w:t>
      </w:r>
      <w:r>
        <w:fldChar w:fldCharType="end"/>
      </w:r>
      <w:r>
        <w:fldChar w:fldCharType="end"/>
      </w:r>
    </w:p>
    <w:p>
      <w:pPr>
        <w:pStyle w:val="16"/>
        <w:rPr>
          <w:rFonts w:ascii="Calibri" w:hAnsi="Calibri" w:eastAsia="宋体"/>
          <w:b w:val="0"/>
          <w:bCs w:val="0"/>
          <w:sz w:val="21"/>
          <w:szCs w:val="22"/>
        </w:rPr>
      </w:pPr>
      <w:r>
        <w:fldChar w:fldCharType="begin"/>
      </w:r>
      <w:r>
        <w:instrText xml:space="preserve"> HYPERLINK \l "_Toc426445182" </w:instrText>
      </w:r>
      <w:r>
        <w:fldChar w:fldCharType="separate"/>
      </w:r>
      <w:r>
        <w:rPr>
          <w:rStyle w:val="19"/>
          <w:rFonts w:hint="eastAsia" w:ascii="黑体" w:eastAsia="黑体"/>
        </w:rPr>
        <w:t>（</w:t>
      </w:r>
      <w:r>
        <w:rPr>
          <w:rStyle w:val="19"/>
          <w:rFonts w:hint="eastAsia" w:ascii="Times New Roman" w:hAnsi="Times New Roman" w:eastAsia="黑体"/>
        </w:rPr>
        <w:t>五）提升思想政治教育质量</w:t>
      </w:r>
      <w:r>
        <w:tab/>
      </w:r>
      <w:r>
        <w:fldChar w:fldCharType="begin"/>
      </w:r>
      <w:r>
        <w:instrText xml:space="preserve"> PAGEREF _Toc426445182 \h </w:instrText>
      </w:r>
      <w:r>
        <w:fldChar w:fldCharType="separate"/>
      </w:r>
      <w:r>
        <w:t>18</w:t>
      </w:r>
      <w:r>
        <w:fldChar w:fldCharType="end"/>
      </w:r>
      <w:r>
        <w:fldChar w:fldCharType="end"/>
      </w:r>
    </w:p>
    <w:p>
      <w:pPr>
        <w:pStyle w:val="8"/>
        <w:rPr>
          <w:rFonts w:ascii="Calibri" w:hAnsi="Calibri"/>
          <w:sz w:val="21"/>
          <w:szCs w:val="22"/>
        </w:rPr>
      </w:pPr>
      <w:r>
        <w:fldChar w:fldCharType="begin"/>
      </w:r>
      <w:r>
        <w:instrText xml:space="preserve"> HYPERLINK \l "_Toc426445183" </w:instrText>
      </w:r>
      <w:r>
        <w:fldChar w:fldCharType="separate"/>
      </w:r>
      <w:r>
        <w:rPr>
          <w:rStyle w:val="19"/>
          <w:rFonts w:eastAsia="楷体_GB2312"/>
        </w:rPr>
        <w:t xml:space="preserve">1. </w:t>
      </w:r>
      <w:r>
        <w:rPr>
          <w:rStyle w:val="19"/>
          <w:rFonts w:hint="eastAsia" w:eastAsia="楷体_GB2312"/>
        </w:rPr>
        <w:t>加强和改进学生思想政治教育工作</w:t>
      </w:r>
      <w:r>
        <w:tab/>
      </w:r>
      <w:r>
        <w:fldChar w:fldCharType="begin"/>
      </w:r>
      <w:r>
        <w:instrText xml:space="preserve"> PAGEREF _Toc426445183 \h </w:instrText>
      </w:r>
      <w:r>
        <w:fldChar w:fldCharType="separate"/>
      </w:r>
      <w:r>
        <w:t>18</w:t>
      </w:r>
      <w:r>
        <w:fldChar w:fldCharType="end"/>
      </w:r>
      <w:r>
        <w:fldChar w:fldCharType="end"/>
      </w:r>
    </w:p>
    <w:p>
      <w:pPr>
        <w:pStyle w:val="8"/>
        <w:rPr>
          <w:rFonts w:ascii="Calibri" w:hAnsi="Calibri"/>
          <w:sz w:val="21"/>
          <w:szCs w:val="22"/>
        </w:rPr>
      </w:pPr>
      <w:r>
        <w:fldChar w:fldCharType="begin"/>
      </w:r>
      <w:r>
        <w:instrText xml:space="preserve"> HYPERLINK \l "_Toc426445184" </w:instrText>
      </w:r>
      <w:r>
        <w:fldChar w:fldCharType="separate"/>
      </w:r>
      <w:r>
        <w:rPr>
          <w:rStyle w:val="19"/>
          <w:rFonts w:eastAsia="楷体_GB2312"/>
        </w:rPr>
        <w:t xml:space="preserve">2. </w:t>
      </w:r>
      <w:r>
        <w:rPr>
          <w:rStyle w:val="19"/>
          <w:rFonts w:hint="eastAsia" w:eastAsia="楷体_GB2312"/>
        </w:rPr>
        <w:t>促进职业技能培养与职业精神养成相融合</w:t>
      </w:r>
      <w:r>
        <w:tab/>
      </w:r>
      <w:r>
        <w:fldChar w:fldCharType="begin"/>
      </w:r>
      <w:r>
        <w:instrText xml:space="preserve"> PAGEREF _Toc426445184 \h </w:instrText>
      </w:r>
      <w:r>
        <w:fldChar w:fldCharType="separate"/>
      </w:r>
      <w:r>
        <w:t>18</w:t>
      </w:r>
      <w:r>
        <w:fldChar w:fldCharType="end"/>
      </w:r>
      <w:r>
        <w:fldChar w:fldCharType="end"/>
      </w:r>
    </w:p>
    <w:p>
      <w:pPr>
        <w:pStyle w:val="16"/>
        <w:rPr>
          <w:rFonts w:ascii="Calibri" w:hAnsi="Calibri" w:eastAsia="宋体"/>
          <w:b w:val="0"/>
          <w:bCs w:val="0"/>
          <w:sz w:val="21"/>
          <w:szCs w:val="22"/>
        </w:rPr>
      </w:pPr>
      <w:r>
        <w:fldChar w:fldCharType="begin"/>
      </w:r>
      <w:r>
        <w:instrText xml:space="preserve"> HYPERLINK \l "_Toc426445185" </w:instrText>
      </w:r>
      <w:r>
        <w:fldChar w:fldCharType="separate"/>
      </w:r>
      <w:r>
        <w:rPr>
          <w:rStyle w:val="19"/>
          <w:rFonts w:hint="eastAsia" w:ascii="Times New Roman" w:hAnsi="Times New Roman" w:eastAsia="黑体"/>
        </w:rPr>
        <w:t>三、保障措施</w:t>
      </w:r>
      <w:r>
        <w:tab/>
      </w:r>
      <w:r>
        <w:fldChar w:fldCharType="begin"/>
      </w:r>
      <w:r>
        <w:instrText xml:space="preserve"> PAGEREF _Toc426445185 \h </w:instrText>
      </w:r>
      <w:r>
        <w:fldChar w:fldCharType="separate"/>
      </w:r>
      <w:r>
        <w:t>19</w:t>
      </w:r>
      <w:r>
        <w:fldChar w:fldCharType="end"/>
      </w:r>
      <w:r>
        <w:fldChar w:fldCharType="end"/>
      </w:r>
    </w:p>
    <w:p>
      <w:pPr>
        <w:pStyle w:val="16"/>
        <w:rPr>
          <w:rFonts w:ascii="Calibri" w:hAnsi="Calibri" w:eastAsia="宋体"/>
          <w:b w:val="0"/>
          <w:bCs w:val="0"/>
          <w:sz w:val="21"/>
          <w:szCs w:val="22"/>
        </w:rPr>
      </w:pPr>
      <w:r>
        <w:fldChar w:fldCharType="begin"/>
      </w:r>
      <w:r>
        <w:instrText xml:space="preserve"> HYPERLINK \l "_Toc426445186" </w:instrText>
      </w:r>
      <w:r>
        <w:fldChar w:fldCharType="separate"/>
      </w:r>
      <w:r>
        <w:rPr>
          <w:rStyle w:val="19"/>
          <w:rFonts w:hint="eastAsia" w:ascii="Times New Roman" w:hAnsi="Times New Roman" w:eastAsia="黑体"/>
        </w:rPr>
        <w:t>（一）加强组织领导</w:t>
      </w:r>
      <w:r>
        <w:tab/>
      </w:r>
      <w:r>
        <w:fldChar w:fldCharType="begin"/>
      </w:r>
      <w:r>
        <w:instrText xml:space="preserve"> PAGEREF _Toc426445186 \h </w:instrText>
      </w:r>
      <w:r>
        <w:fldChar w:fldCharType="separate"/>
      </w:r>
      <w:r>
        <w:t>19</w:t>
      </w:r>
      <w:r>
        <w:fldChar w:fldCharType="end"/>
      </w:r>
      <w:r>
        <w:fldChar w:fldCharType="end"/>
      </w:r>
    </w:p>
    <w:p>
      <w:pPr>
        <w:pStyle w:val="16"/>
        <w:rPr>
          <w:rFonts w:ascii="Calibri" w:hAnsi="Calibri" w:eastAsia="宋体"/>
          <w:b w:val="0"/>
          <w:bCs w:val="0"/>
          <w:sz w:val="21"/>
          <w:szCs w:val="22"/>
        </w:rPr>
      </w:pPr>
      <w:r>
        <w:fldChar w:fldCharType="begin"/>
      </w:r>
      <w:r>
        <w:instrText xml:space="preserve"> HYPERLINK \l "_Toc426445187" </w:instrText>
      </w:r>
      <w:r>
        <w:fldChar w:fldCharType="separate"/>
      </w:r>
      <w:r>
        <w:rPr>
          <w:rStyle w:val="19"/>
          <w:rFonts w:hint="eastAsia" w:ascii="Times New Roman" w:hAnsi="Times New Roman" w:eastAsia="黑体"/>
        </w:rPr>
        <w:t>（二）强化管理督查</w:t>
      </w:r>
      <w:r>
        <w:tab/>
      </w:r>
      <w:r>
        <w:fldChar w:fldCharType="begin"/>
      </w:r>
      <w:r>
        <w:instrText xml:space="preserve"> PAGEREF _Toc426445187 \h </w:instrText>
      </w:r>
      <w:r>
        <w:fldChar w:fldCharType="separate"/>
      </w:r>
      <w:r>
        <w:t>19</w:t>
      </w:r>
      <w:r>
        <w:fldChar w:fldCharType="end"/>
      </w:r>
      <w:r>
        <w:fldChar w:fldCharType="end"/>
      </w:r>
    </w:p>
    <w:p>
      <w:pPr>
        <w:pStyle w:val="16"/>
        <w:rPr>
          <w:rFonts w:ascii="Calibri" w:hAnsi="Calibri" w:eastAsia="宋体"/>
          <w:b w:val="0"/>
          <w:bCs w:val="0"/>
          <w:sz w:val="21"/>
          <w:szCs w:val="22"/>
        </w:rPr>
      </w:pPr>
      <w:r>
        <w:fldChar w:fldCharType="begin"/>
      </w:r>
      <w:r>
        <w:instrText xml:space="preserve"> HYPERLINK \l "_Toc426445188" </w:instrText>
      </w:r>
      <w:r>
        <w:fldChar w:fldCharType="separate"/>
      </w:r>
      <w:r>
        <w:rPr>
          <w:rStyle w:val="19"/>
          <w:rFonts w:hint="eastAsia" w:ascii="Times New Roman" w:hAnsi="Times New Roman" w:eastAsia="黑体"/>
        </w:rPr>
        <w:t>（三）营造良好环境</w:t>
      </w:r>
      <w:r>
        <w:tab/>
      </w:r>
      <w:r>
        <w:fldChar w:fldCharType="begin"/>
      </w:r>
      <w:r>
        <w:instrText xml:space="preserve"> PAGEREF _Toc426445188 \h </w:instrText>
      </w:r>
      <w:r>
        <w:fldChar w:fldCharType="separate"/>
      </w:r>
      <w:r>
        <w:t>20</w:t>
      </w:r>
      <w:r>
        <w:fldChar w:fldCharType="end"/>
      </w:r>
      <w:r>
        <w:fldChar w:fldCharType="end"/>
      </w:r>
    </w:p>
    <w:p>
      <w:pPr>
        <w:pStyle w:val="14"/>
        <w:rPr>
          <w:rFonts w:ascii="Calibri" w:hAnsi="Calibri" w:eastAsia="宋体"/>
          <w:b w:val="0"/>
          <w:sz w:val="21"/>
          <w:szCs w:val="22"/>
        </w:rPr>
      </w:pPr>
      <w:r>
        <w:fldChar w:fldCharType="begin"/>
      </w:r>
      <w:r>
        <w:instrText xml:space="preserve"> HYPERLINK \l "_Toc426445189" </w:instrText>
      </w:r>
      <w:r>
        <w:fldChar w:fldCharType="separate"/>
      </w:r>
      <w:r>
        <w:rPr>
          <w:rStyle w:val="19"/>
          <w:rFonts w:hint="eastAsia" w:ascii="Times New Roman" w:hAnsi="Times New Roman" w:eastAsia="仿宋_GB2312"/>
        </w:rPr>
        <w:t>附</w:t>
      </w:r>
      <w:r>
        <w:rPr>
          <w:rFonts w:hint="eastAsia"/>
        </w:rPr>
        <w:t>：</w:t>
      </w:r>
      <w:r>
        <w:rPr>
          <w:rFonts w:hint="eastAsia"/>
        </w:rPr>
        <w:fldChar w:fldCharType="end"/>
      </w:r>
      <w:r>
        <w:fldChar w:fldCharType="begin"/>
      </w:r>
      <w:r>
        <w:instrText xml:space="preserve"> HYPERLINK \l "_Toc426445190" </w:instrText>
      </w:r>
      <w:r>
        <w:fldChar w:fldCharType="separate"/>
      </w:r>
      <w:r>
        <w:rPr>
          <w:rStyle w:val="19"/>
          <w:rFonts w:hint="eastAsia" w:ascii="Times New Roman" w:hAnsi="Times New Roman"/>
        </w:rPr>
        <w:t>高等职业教育创新发展行动计划任务、项目一览表</w:t>
      </w:r>
      <w:r>
        <w:tab/>
      </w:r>
      <w:r>
        <w:fldChar w:fldCharType="begin"/>
      </w:r>
      <w:r>
        <w:instrText xml:space="preserve"> PAGEREF _Toc426445190 \h </w:instrText>
      </w:r>
      <w:r>
        <w:fldChar w:fldCharType="separate"/>
      </w:r>
      <w:r>
        <w:t>21</w:t>
      </w:r>
      <w:r>
        <w:fldChar w:fldCharType="end"/>
      </w:r>
      <w:r>
        <w:fldChar w:fldCharType="end"/>
      </w:r>
    </w:p>
    <w:p>
      <w:pPr>
        <w:pStyle w:val="14"/>
      </w:pPr>
      <w:r>
        <w:fldChar w:fldCharType="end"/>
      </w:r>
    </w:p>
    <w:p>
      <w:pPr>
        <w:widowControl/>
        <w:jc w:val="left"/>
        <w:rPr>
          <w:rFonts w:ascii="仿宋_GB2312" w:eastAsia="仿宋_GB2312"/>
          <w:sz w:val="32"/>
          <w:szCs w:val="32"/>
        </w:rPr>
        <w:sectPr>
          <w:footerReference r:id="rId5" w:type="default"/>
          <w:pgSz w:w="11906" w:h="16838"/>
          <w:pgMar w:top="1440" w:right="1803" w:bottom="1440" w:left="1803" w:header="851" w:footer="992" w:gutter="0"/>
          <w:paperSrc/>
          <w:pgNumType w:fmt="upperRoman" w:start="1"/>
          <w:cols w:space="0" w:num="1"/>
          <w:rtlGutter w:val="0"/>
          <w:docGrid w:type="lines" w:linePitch="312" w:charSpace="0"/>
        </w:sectPr>
      </w:pPr>
    </w:p>
    <w:p>
      <w:pPr>
        <w:adjustRightInd w:val="0"/>
        <w:snapToGrid w:val="0"/>
        <w:spacing w:line="312" w:lineRule="auto"/>
        <w:ind w:firstLine="640" w:firstLineChars="200"/>
        <w:rPr>
          <w:rFonts w:eastAsia="仿宋_GB2312"/>
          <w:sz w:val="32"/>
          <w:szCs w:val="32"/>
        </w:rPr>
      </w:pPr>
      <w:r>
        <w:rPr>
          <w:rFonts w:hint="eastAsia" w:eastAsia="仿宋_GB2312"/>
          <w:sz w:val="32"/>
          <w:szCs w:val="32"/>
        </w:rPr>
        <w:t>为贯彻落实《国务院关于加快发展现代职业教育的决定》和</w:t>
      </w:r>
      <w:r>
        <w:rPr>
          <w:rFonts w:hint="eastAsia" w:ascii="仿宋_GB2312" w:eastAsia="仿宋_GB2312"/>
          <w:color w:val="000000"/>
          <w:sz w:val="32"/>
          <w:szCs w:val="32"/>
        </w:rPr>
        <w:t>全国人大常委会职业教育法执法检查有关要求</w:t>
      </w:r>
      <w:r>
        <w:rPr>
          <w:rFonts w:hint="eastAsia" w:eastAsia="仿宋_GB2312"/>
          <w:sz w:val="32"/>
          <w:szCs w:val="32"/>
        </w:rPr>
        <w:t>，创新发展高等职业教育，制定本行动计划。</w:t>
      </w:r>
    </w:p>
    <w:p>
      <w:pPr>
        <w:pStyle w:val="2"/>
        <w:snapToGrid w:val="0"/>
        <w:spacing w:before="0" w:after="0" w:line="312" w:lineRule="auto"/>
        <w:ind w:firstLine="803"/>
        <w:rPr>
          <w:rFonts w:ascii="Times New Roman" w:hAnsi="Times New Roman"/>
          <w:b/>
        </w:rPr>
      </w:pPr>
      <w:bookmarkStart w:id="0" w:name="_Toc309579210"/>
      <w:bookmarkStart w:id="1" w:name="_Toc309248021"/>
      <w:bookmarkStart w:id="2" w:name="_Toc318277105"/>
      <w:bookmarkStart w:id="3" w:name="_Toc345178804"/>
      <w:bookmarkStart w:id="4" w:name="_Toc292285440"/>
      <w:bookmarkStart w:id="5" w:name="_Toc318139982"/>
      <w:bookmarkStart w:id="6" w:name="_Toc426445143"/>
      <w:r>
        <w:rPr>
          <w:rFonts w:hint="eastAsia" w:ascii="Times New Roman" w:hAnsi="Times New Roman"/>
          <w:b/>
        </w:rPr>
        <w:t>一、总</w:t>
      </w:r>
      <w:bookmarkEnd w:id="0"/>
      <w:bookmarkEnd w:id="1"/>
      <w:bookmarkEnd w:id="2"/>
      <w:bookmarkEnd w:id="3"/>
      <w:bookmarkEnd w:id="4"/>
      <w:bookmarkEnd w:id="5"/>
      <w:r>
        <w:rPr>
          <w:rFonts w:hint="eastAsia" w:ascii="Times New Roman" w:hAnsi="Times New Roman"/>
          <w:b/>
        </w:rPr>
        <w:t>体要求</w:t>
      </w:r>
      <w:bookmarkEnd w:id="6"/>
    </w:p>
    <w:p>
      <w:pPr>
        <w:pStyle w:val="3"/>
        <w:snapToGrid w:val="0"/>
        <w:spacing w:before="0" w:after="0" w:line="312" w:lineRule="auto"/>
        <w:ind w:firstLine="643"/>
        <w:rPr>
          <w:rFonts w:ascii="Times New Roman" w:hAnsi="Times New Roman" w:eastAsia="黑体"/>
          <w:b/>
        </w:rPr>
      </w:pPr>
      <w:bookmarkStart w:id="7" w:name="_Toc426445144"/>
      <w:bookmarkStart w:id="8" w:name="_Toc290664650"/>
      <w:bookmarkStart w:id="9" w:name="_Toc309248022"/>
      <w:bookmarkStart w:id="10" w:name="_Toc309579211"/>
      <w:bookmarkStart w:id="11" w:name="_Toc292285441"/>
      <w:bookmarkStart w:id="12" w:name="_Toc290544817"/>
      <w:r>
        <w:rPr>
          <w:rFonts w:hint="eastAsia" w:ascii="Times New Roman" w:hAnsi="Times New Roman" w:eastAsia="黑体"/>
          <w:b/>
        </w:rPr>
        <w:t>（一）指导思想</w:t>
      </w:r>
      <w:bookmarkEnd w:id="7"/>
    </w:p>
    <w:p>
      <w:pPr>
        <w:adjustRightInd w:val="0"/>
        <w:snapToGrid w:val="0"/>
        <w:spacing w:line="312" w:lineRule="auto"/>
        <w:ind w:firstLine="640" w:firstLineChars="200"/>
        <w:rPr>
          <w:rFonts w:eastAsia="仿宋_GB2312"/>
          <w:sz w:val="32"/>
          <w:szCs w:val="32"/>
        </w:rPr>
      </w:pPr>
      <w:r>
        <w:rPr>
          <w:rFonts w:hint="eastAsia" w:eastAsia="仿宋_GB2312"/>
          <w:sz w:val="32"/>
          <w:szCs w:val="32"/>
        </w:rPr>
        <w:t>以邓小平理论、“三个代表”重要思想、科学发展观为指导，切实贯彻习近平总书记重要指示精神，服务“四个全面”战略布局和创新驱动发展战略，以立德树人为根本，以服务发展为宗旨，以促进就业为导向，坚持适应需求、面向人人，坚持产教融合、校企合作，坚持工学结合、知行合一，推动高等职业教育与经济社会同步发展，加强技术技能积累，提升人才培养质量，为实现“两个一百年”奋斗目标和中华民族伟大复兴的中国梦提供坚实人才保障。</w:t>
      </w:r>
    </w:p>
    <w:bookmarkEnd w:id="8"/>
    <w:bookmarkEnd w:id="9"/>
    <w:bookmarkEnd w:id="10"/>
    <w:bookmarkEnd w:id="11"/>
    <w:bookmarkEnd w:id="12"/>
    <w:p>
      <w:pPr>
        <w:pStyle w:val="3"/>
        <w:snapToGrid w:val="0"/>
        <w:spacing w:before="0" w:after="0" w:line="312" w:lineRule="auto"/>
        <w:ind w:firstLine="643"/>
        <w:rPr>
          <w:rFonts w:ascii="黑体" w:eastAsia="黑体"/>
          <w:b/>
          <w:lang w:eastAsia="zh-CN"/>
        </w:rPr>
      </w:pPr>
      <w:bookmarkStart w:id="13" w:name="_Toc290664656"/>
      <w:bookmarkStart w:id="14" w:name="_Toc345178811"/>
      <w:bookmarkStart w:id="15" w:name="_Toc318277112"/>
      <w:bookmarkStart w:id="16" w:name="_Toc309579217"/>
      <w:bookmarkStart w:id="17" w:name="_Toc309248028"/>
      <w:bookmarkStart w:id="18" w:name="_Toc292285447"/>
      <w:bookmarkStart w:id="19" w:name="_Toc318139989"/>
      <w:bookmarkStart w:id="20" w:name="_Toc426445145"/>
      <w:bookmarkStart w:id="21" w:name="_Toc290544824"/>
      <w:r>
        <w:rPr>
          <w:rFonts w:hint="eastAsia" w:ascii="黑体" w:eastAsia="黑体"/>
          <w:b/>
        </w:rPr>
        <w:t>（二）基本</w:t>
      </w:r>
      <w:bookmarkEnd w:id="13"/>
      <w:r>
        <w:rPr>
          <w:rFonts w:hint="eastAsia" w:ascii="黑体" w:eastAsia="黑体"/>
          <w:b/>
        </w:rPr>
        <w:t>原则</w:t>
      </w:r>
      <w:bookmarkEnd w:id="14"/>
      <w:bookmarkEnd w:id="15"/>
      <w:bookmarkEnd w:id="16"/>
      <w:bookmarkEnd w:id="17"/>
      <w:bookmarkEnd w:id="18"/>
      <w:bookmarkEnd w:id="19"/>
      <w:bookmarkEnd w:id="20"/>
    </w:p>
    <w:p>
      <w:pPr>
        <w:adjustRightInd w:val="0"/>
        <w:snapToGrid w:val="0"/>
        <w:spacing w:line="312" w:lineRule="auto"/>
        <w:ind w:firstLine="640" w:firstLineChars="200"/>
        <w:rPr>
          <w:rFonts w:ascii="仿宋_GB2312" w:eastAsia="仿宋_GB2312"/>
          <w:sz w:val="32"/>
          <w:szCs w:val="32"/>
        </w:rPr>
      </w:pPr>
      <w:r>
        <w:rPr>
          <w:rFonts w:hint="eastAsia" w:ascii="仿宋_GB2312" w:eastAsia="仿宋_GB2312"/>
          <w:sz w:val="32"/>
          <w:szCs w:val="32"/>
        </w:rPr>
        <w:t>——坚持政府推动与引导社会力量参与相结合。强化地方政府统筹发展职业教育的责任，落实高等职业院校办学自主权，探索本科层次职业教育实现形式；充分发挥市场机制作用，引导社会力量参与办学，发挥企业重要办学主体作用，探索发展股份制、混合所有制高等职业院校。</w:t>
      </w:r>
    </w:p>
    <w:bookmarkEnd w:id="21"/>
    <w:p>
      <w:pPr>
        <w:adjustRightInd w:val="0"/>
        <w:snapToGrid w:val="0"/>
        <w:spacing w:line="312" w:lineRule="auto"/>
        <w:ind w:firstLine="640" w:firstLineChars="200"/>
        <w:rPr>
          <w:rFonts w:ascii="仿宋_GB2312" w:eastAsia="仿宋_GB2312"/>
          <w:sz w:val="32"/>
          <w:szCs w:val="32"/>
        </w:rPr>
      </w:pPr>
      <w:r>
        <w:rPr>
          <w:rFonts w:hint="eastAsia" w:ascii="仿宋_GB2312" w:eastAsia="仿宋_GB2312"/>
          <w:sz w:val="32"/>
          <w:szCs w:val="32"/>
        </w:rPr>
        <w:t>——坚持顶层设计与支持地方先行先试相结合。加强现代职业教育国家制度建设，深化重要领域和关键环节改革；鼓励和支持有条件的地区率先开展试点，积极探索现代职业教育体系建设的实现路径和制度创新，完善现代职业教育的国家标准、国家机制和国家政策。</w:t>
      </w:r>
    </w:p>
    <w:p>
      <w:pPr>
        <w:adjustRightInd w:val="0"/>
        <w:snapToGrid w:val="0"/>
        <w:spacing w:line="312" w:lineRule="auto"/>
        <w:ind w:firstLine="640" w:firstLineChars="200"/>
        <w:rPr>
          <w:rFonts w:ascii="仿宋_GB2312" w:eastAsia="仿宋_GB2312"/>
          <w:sz w:val="32"/>
          <w:szCs w:val="32"/>
        </w:rPr>
      </w:pPr>
      <w:bookmarkStart w:id="22" w:name="_Toc290544826"/>
      <w:r>
        <w:rPr>
          <w:rFonts w:hint="eastAsia" w:ascii="仿宋_GB2312" w:eastAsia="仿宋_GB2312"/>
          <w:sz w:val="32"/>
          <w:szCs w:val="32"/>
        </w:rPr>
        <w:t>——坚持扶优扶强与提升整体保障水平相结合。支持部分普通本科高等学校转型发展、优质专科高等职业院校创新发展、职业院校骨干专业特色发展，在体制机制创新、人才培养模式改革、社会服务能力提升等方面率先取得突破；健全高等职业院校生均拨款制度和质量保证机制，全面提高保障水平。</w:t>
      </w:r>
    </w:p>
    <w:p>
      <w:pPr>
        <w:adjustRightInd w:val="0"/>
        <w:snapToGrid w:val="0"/>
        <w:spacing w:line="312" w:lineRule="auto"/>
        <w:ind w:firstLine="640" w:firstLineChars="200"/>
        <w:rPr>
          <w:rFonts w:ascii="仿宋_GB2312" w:eastAsia="仿宋_GB2312"/>
          <w:sz w:val="32"/>
          <w:szCs w:val="32"/>
        </w:rPr>
      </w:pPr>
      <w:r>
        <w:rPr>
          <w:rFonts w:hint="eastAsia" w:ascii="仿宋_GB2312" w:eastAsia="仿宋_GB2312"/>
          <w:sz w:val="32"/>
          <w:szCs w:val="32"/>
        </w:rPr>
        <w:t>——坚持教学改革与提升院校治理能力相结合。以提高质量为核心，深化专业内涵建设，推进课程体系、教学模式改革；与人才培养和教师能力提升相结合开展应用技术研发；创新校企合作、工学结合的育人机制；推动专科高等职业院校依法制定章程，完善治理结构，提升治理能力。</w:t>
      </w:r>
    </w:p>
    <w:bookmarkEnd w:id="22"/>
    <w:p>
      <w:pPr>
        <w:pStyle w:val="3"/>
        <w:snapToGrid w:val="0"/>
        <w:spacing w:before="0" w:after="0" w:line="312" w:lineRule="auto"/>
        <w:ind w:firstLine="643"/>
        <w:rPr>
          <w:rFonts w:ascii="黑体" w:eastAsia="黑体"/>
          <w:b/>
        </w:rPr>
      </w:pPr>
      <w:bookmarkStart w:id="23" w:name="_Toc345178812"/>
      <w:bookmarkStart w:id="24" w:name="_Toc318277113"/>
      <w:bookmarkStart w:id="25" w:name="_Toc426445146"/>
      <w:bookmarkStart w:id="26" w:name="_Toc318139990"/>
      <w:r>
        <w:rPr>
          <w:rFonts w:hint="eastAsia" w:ascii="黑体" w:eastAsia="黑体"/>
          <w:b/>
        </w:rPr>
        <w:t>（三）主要目标</w:t>
      </w:r>
      <w:bookmarkEnd w:id="23"/>
      <w:bookmarkEnd w:id="24"/>
      <w:bookmarkEnd w:id="25"/>
      <w:bookmarkEnd w:id="26"/>
    </w:p>
    <w:p>
      <w:pPr>
        <w:adjustRightInd w:val="0"/>
        <w:snapToGrid w:val="0"/>
        <w:spacing w:line="312" w:lineRule="auto"/>
        <w:ind w:firstLine="640" w:firstLineChars="200"/>
        <w:rPr>
          <w:rFonts w:eastAsia="仿宋_GB2312"/>
          <w:sz w:val="32"/>
          <w:szCs w:val="32"/>
        </w:rPr>
      </w:pPr>
      <w:r>
        <w:rPr>
          <w:rFonts w:hint="eastAsia" w:ascii="仿宋_GB2312" w:eastAsia="仿宋_GB2312"/>
          <w:sz w:val="32"/>
          <w:szCs w:val="32"/>
        </w:rPr>
        <w:t>通过三年建设，高等职业教育整体实力显著增强，人才培养质量持续提高，服务经济社会发展水平显著提升，高等教育结构优化成效更加明显，推动现代职业教育体系日</w:t>
      </w:r>
      <w:r>
        <w:rPr>
          <w:rFonts w:hint="eastAsia" w:eastAsia="仿宋_GB2312"/>
          <w:sz w:val="32"/>
          <w:szCs w:val="32"/>
        </w:rPr>
        <w:t>臻完善。</w:t>
      </w:r>
    </w:p>
    <w:p>
      <w:pPr>
        <w:adjustRightInd w:val="0"/>
        <w:snapToGrid w:val="0"/>
        <w:spacing w:line="312" w:lineRule="auto"/>
        <w:ind w:firstLine="640" w:firstLineChars="200"/>
        <w:rPr>
          <w:rFonts w:eastAsia="仿宋_GB2312"/>
          <w:sz w:val="32"/>
          <w:szCs w:val="32"/>
        </w:rPr>
      </w:pPr>
      <w:r>
        <w:rPr>
          <w:rFonts w:hint="eastAsia" w:eastAsia="仿宋_GB2312"/>
          <w:sz w:val="32"/>
          <w:szCs w:val="32"/>
        </w:rPr>
        <w:t>——体系结构更加合理。人才培养的层次、规模与经济社会发展更加匹配，专科层次职业教育在校生达到</w:t>
      </w:r>
      <w:r>
        <w:rPr>
          <w:rFonts w:eastAsia="仿宋_GB2312"/>
          <w:sz w:val="32"/>
          <w:szCs w:val="32"/>
        </w:rPr>
        <w:t>1420</w:t>
      </w:r>
      <w:r>
        <w:rPr>
          <w:rFonts w:hint="eastAsia" w:eastAsia="仿宋_GB2312"/>
          <w:sz w:val="32"/>
          <w:szCs w:val="32"/>
        </w:rPr>
        <w:t>万人，接受本科层次职业教育学生达到一定规模，以职业需求为导向的专业学位研究生培养模式改革取得阶段成果。</w:t>
      </w:r>
    </w:p>
    <w:p>
      <w:pPr>
        <w:adjustRightInd w:val="0"/>
        <w:snapToGrid w:val="0"/>
        <w:spacing w:line="312" w:lineRule="auto"/>
        <w:ind w:firstLine="640" w:firstLineChars="200"/>
        <w:rPr>
          <w:rFonts w:eastAsia="仿宋_GB2312"/>
          <w:sz w:val="32"/>
          <w:szCs w:val="32"/>
        </w:rPr>
      </w:pPr>
      <w:bookmarkStart w:id="27" w:name="_Toc318139991"/>
      <w:bookmarkStart w:id="28" w:name="_Toc318277114"/>
      <w:bookmarkStart w:id="29" w:name="_Toc345178813"/>
      <w:r>
        <w:rPr>
          <w:rFonts w:hint="eastAsia" w:eastAsia="仿宋_GB2312"/>
          <w:sz w:val="32"/>
          <w:szCs w:val="32"/>
        </w:rPr>
        <w:t>——服务发展的能力进一步增强</w:t>
      </w:r>
      <w:bookmarkEnd w:id="27"/>
      <w:bookmarkEnd w:id="28"/>
      <w:r>
        <w:rPr>
          <w:rFonts w:hint="eastAsia" w:eastAsia="仿宋_GB2312"/>
          <w:sz w:val="32"/>
          <w:szCs w:val="32"/>
        </w:rPr>
        <w:t>。</w:t>
      </w:r>
      <w:bookmarkEnd w:id="29"/>
      <w:r>
        <w:rPr>
          <w:rFonts w:hint="eastAsia" w:eastAsia="仿宋_GB2312"/>
          <w:sz w:val="32"/>
          <w:szCs w:val="32"/>
        </w:rPr>
        <w:t>技术技能人才培养质量大幅提升，高等职业院校的布局结构、专业设置与区域产业发展需要结合更加紧密；应用技术研发能力和社会服务水平大幅提高；与行业企业共同推进技术技能积累创新的机制初步形成；服务转方式调结构促升级的能力显著增强。</w:t>
      </w:r>
    </w:p>
    <w:p>
      <w:pPr>
        <w:adjustRightInd w:val="0"/>
        <w:snapToGrid w:val="0"/>
        <w:spacing w:line="312" w:lineRule="auto"/>
        <w:ind w:firstLine="640" w:firstLineChars="200"/>
        <w:rPr>
          <w:rFonts w:eastAsia="仿宋_GB2312"/>
          <w:sz w:val="32"/>
          <w:szCs w:val="32"/>
        </w:rPr>
      </w:pPr>
      <w:bookmarkStart w:id="30" w:name="_Toc318139993"/>
      <w:bookmarkStart w:id="31" w:name="_Toc318277116"/>
      <w:bookmarkStart w:id="32" w:name="_Toc345178815"/>
      <w:r>
        <w:rPr>
          <w:rFonts w:hint="eastAsia" w:eastAsia="仿宋_GB2312"/>
          <w:sz w:val="32"/>
          <w:szCs w:val="32"/>
        </w:rPr>
        <w:t>——</w:t>
      </w:r>
      <w:bookmarkEnd w:id="30"/>
      <w:bookmarkEnd w:id="31"/>
      <w:r>
        <w:rPr>
          <w:rFonts w:hint="eastAsia" w:eastAsia="仿宋_GB2312"/>
          <w:sz w:val="32"/>
          <w:szCs w:val="32"/>
        </w:rPr>
        <w:t>可持续发展的机制更加完善。</w:t>
      </w:r>
      <w:bookmarkEnd w:id="32"/>
      <w:r>
        <w:rPr>
          <w:rFonts w:hint="eastAsia" w:eastAsia="仿宋_GB2312"/>
          <w:sz w:val="32"/>
          <w:szCs w:val="32"/>
        </w:rPr>
        <w:t>公办高等职业院校生均拨款制度全面建立；院校治理能力明显改善；职普沟通更加便捷，升学渠道进一步畅通；支持社会力量参与职业教育的政策更加健全；产教融合发展成效更加明显；职业教育国家标准体系更加完善；职业教育信息化水平明显提高。</w:t>
      </w:r>
    </w:p>
    <w:p>
      <w:pPr>
        <w:adjustRightInd w:val="0"/>
        <w:snapToGrid w:val="0"/>
        <w:spacing w:line="312" w:lineRule="auto"/>
        <w:ind w:firstLine="640" w:firstLineChars="200"/>
        <w:rPr>
          <w:rFonts w:hint="eastAsia" w:eastAsia="仿宋_GB2312"/>
          <w:sz w:val="32"/>
          <w:szCs w:val="32"/>
        </w:rPr>
      </w:pPr>
      <w:r>
        <w:rPr>
          <w:rFonts w:hint="eastAsia" w:eastAsia="仿宋_GB2312"/>
          <w:sz w:val="32"/>
          <w:szCs w:val="32"/>
        </w:rPr>
        <w:t>——发展质量持续提升。以专业为载体的优质教育资源总量和覆盖区域不断扩大，支持优质专科高等职业院校争创国际先进水平的机制基本形成；多方参与、多元评价的质量保证机制更加完善；基于增强发展能力的东中西部合作机制更加成型；融人文素养、职业精神、职业技能为一体的育人文化初步形成；我国高等职业教育的国际影响持续扩大、国际话语权不断增强。</w:t>
      </w:r>
    </w:p>
    <w:p>
      <w:pPr>
        <w:pStyle w:val="3"/>
        <w:snapToGrid w:val="0"/>
        <w:spacing w:before="0" w:after="0" w:line="312" w:lineRule="auto"/>
        <w:ind w:firstLine="643"/>
        <w:rPr>
          <w:rFonts w:hint="eastAsia" w:ascii="Times New Roman" w:hAnsi="Times New Roman" w:eastAsia="黑体"/>
          <w:b/>
          <w:lang w:eastAsia="zh-CN"/>
        </w:rPr>
      </w:pPr>
      <w:bookmarkStart w:id="33" w:name="_Toc426445147"/>
      <w:r>
        <w:rPr>
          <w:rFonts w:hint="eastAsia" w:ascii="Times New Roman" w:hAnsi="Times New Roman" w:eastAsia="黑体"/>
          <w:b/>
        </w:rPr>
        <w:t>二、主要任务与举措</w:t>
      </w:r>
      <w:bookmarkEnd w:id="33"/>
    </w:p>
    <w:p>
      <w:pPr>
        <w:pStyle w:val="3"/>
        <w:snapToGrid w:val="0"/>
        <w:spacing w:before="0" w:after="0" w:line="312" w:lineRule="auto"/>
        <w:ind w:firstLine="643"/>
        <w:rPr>
          <w:rFonts w:hint="eastAsia" w:ascii="黑体" w:eastAsia="黑体"/>
          <w:b/>
          <w:lang w:eastAsia="zh-CN"/>
        </w:rPr>
      </w:pPr>
      <w:bookmarkStart w:id="34" w:name="_Toc426445148"/>
      <w:r>
        <w:rPr>
          <w:rFonts w:hint="eastAsia" w:ascii="黑体" w:eastAsia="黑体"/>
          <w:b/>
        </w:rPr>
        <w:t>（一）扩大优质教育资源</w:t>
      </w:r>
      <w:bookmarkEnd w:id="34"/>
    </w:p>
    <w:p>
      <w:pPr>
        <w:snapToGrid w:val="0"/>
        <w:spacing w:line="312" w:lineRule="auto"/>
        <w:ind w:firstLine="640" w:firstLineChars="200"/>
        <w:rPr>
          <w:rFonts w:hint="eastAsia" w:eastAsia="仿宋_GB2312"/>
          <w:sz w:val="32"/>
          <w:szCs w:val="32"/>
        </w:rPr>
      </w:pPr>
      <w:r>
        <w:rPr>
          <w:rFonts w:hint="eastAsia" w:eastAsia="仿宋_GB2312"/>
          <w:sz w:val="32"/>
          <w:szCs w:val="32"/>
        </w:rPr>
        <w:t>根据区域特点，以专业建设为重点，提升要素质量、创新发展形式、扩大优质教育资源的总量和覆盖面，提高区域高等职业教育的均衡程度和社会认可度。</w:t>
      </w:r>
    </w:p>
    <w:p>
      <w:pPr>
        <w:pStyle w:val="4"/>
        <w:snapToGrid w:val="0"/>
        <w:spacing w:before="0" w:after="0" w:line="312" w:lineRule="auto"/>
        <w:ind w:firstLine="643"/>
        <w:rPr>
          <w:rFonts w:ascii="Times New Roman" w:hAnsi="Times New Roman" w:eastAsia="楷体_GB2312"/>
          <w:lang w:eastAsia="zh-CN"/>
        </w:rPr>
      </w:pPr>
      <w:bookmarkStart w:id="35" w:name="_Toc426445149"/>
      <w:r>
        <w:rPr>
          <w:rFonts w:hint="eastAsia" w:ascii="Times New Roman" w:hAnsi="Times New Roman" w:eastAsia="楷体_GB2312"/>
          <w:lang w:eastAsia="zh-CN"/>
        </w:rPr>
        <w:t>1</w:t>
      </w:r>
      <w:r>
        <w:rPr>
          <w:rFonts w:ascii="Times New Roman" w:hAnsi="Times New Roman" w:eastAsia="楷体_GB2312"/>
        </w:rPr>
        <w:t>.</w:t>
      </w:r>
      <w:r>
        <w:rPr>
          <w:rFonts w:hint="eastAsia" w:ascii="Times New Roman" w:hAnsi="Times New Roman" w:eastAsia="楷体_GB2312"/>
          <w:lang w:eastAsia="zh-CN"/>
        </w:rPr>
        <w:t xml:space="preserve"> </w:t>
      </w:r>
      <w:r>
        <w:rPr>
          <w:rFonts w:hint="eastAsia" w:ascii="Times New Roman" w:hAnsi="Times New Roman" w:eastAsia="楷体_GB2312"/>
        </w:rPr>
        <w:t>提升专业建设水平</w:t>
      </w:r>
      <w:bookmarkEnd w:id="35"/>
    </w:p>
    <w:p>
      <w:pPr>
        <w:adjustRightInd w:val="0"/>
        <w:snapToGrid w:val="0"/>
        <w:spacing w:line="312" w:lineRule="auto"/>
        <w:ind w:firstLine="640" w:firstLineChars="200"/>
        <w:rPr>
          <w:rFonts w:eastAsia="仿宋_GB2312"/>
          <w:sz w:val="32"/>
          <w:szCs w:val="32"/>
        </w:rPr>
      </w:pPr>
      <w:r>
        <w:rPr>
          <w:rFonts w:hint="eastAsia" w:eastAsia="仿宋_GB2312"/>
          <w:sz w:val="32"/>
          <w:szCs w:val="32"/>
        </w:rPr>
        <w:t>加强专科高等职业院校的专业建设，凝练专业方向、改善实训条件、深化教学改革，整体提升专业发展水平。支持紧贴产业发展、校企深度合作、社会认可度高的骨干专业建设。支持专科高等职业院校与技术先进、管理规范、社会责任感强的规模以上企业深度合作，共建生产性实训基地。面向企业的创新需求，依托重点专业（群），校企共建研发机构。面向国家重点发展产业，提高专业的技术协同创新能力，促进区域产业结构调整和新兴产业发展。探索发展本科层次职业教育专业。</w:t>
      </w:r>
    </w:p>
    <w:p>
      <w:pPr>
        <w:pStyle w:val="4"/>
        <w:snapToGrid w:val="0"/>
        <w:spacing w:before="0" w:after="0" w:line="312" w:lineRule="auto"/>
        <w:ind w:firstLine="643"/>
        <w:rPr>
          <w:rFonts w:ascii="Times New Roman" w:hAnsi="Times New Roman" w:eastAsia="楷体_GB2312"/>
        </w:rPr>
      </w:pPr>
      <w:bookmarkStart w:id="36" w:name="_Toc426445150"/>
      <w:r>
        <w:rPr>
          <w:rFonts w:hint="eastAsia" w:ascii="Times New Roman" w:hAnsi="Times New Roman" w:eastAsia="楷体_GB2312"/>
          <w:lang w:eastAsia="zh-CN"/>
        </w:rPr>
        <w:t>2</w:t>
      </w:r>
      <w:r>
        <w:rPr>
          <w:rFonts w:ascii="Times New Roman" w:hAnsi="Times New Roman" w:eastAsia="楷体_GB2312"/>
        </w:rPr>
        <w:t>.</w:t>
      </w:r>
      <w:r>
        <w:rPr>
          <w:rFonts w:hint="eastAsia" w:ascii="Times New Roman" w:hAnsi="Times New Roman" w:eastAsia="楷体_GB2312"/>
          <w:lang w:eastAsia="zh-CN"/>
        </w:rPr>
        <w:t xml:space="preserve"> 开展</w:t>
      </w:r>
      <w:r>
        <w:rPr>
          <w:rFonts w:hint="eastAsia" w:ascii="Times New Roman" w:hAnsi="Times New Roman" w:eastAsia="楷体_GB2312"/>
        </w:rPr>
        <w:t>优</w:t>
      </w:r>
      <w:r>
        <w:rPr>
          <w:rFonts w:hint="eastAsia" w:ascii="Times New Roman" w:hAnsi="Times New Roman" w:eastAsia="楷体_GB2312"/>
          <w:lang w:eastAsia="zh-CN"/>
        </w:rPr>
        <w:t>质</w:t>
      </w:r>
      <w:r>
        <w:rPr>
          <w:rFonts w:hint="eastAsia" w:ascii="Times New Roman" w:hAnsi="Times New Roman" w:eastAsia="楷体_GB2312"/>
        </w:rPr>
        <w:t>学校建设</w:t>
      </w:r>
      <w:bookmarkEnd w:id="36"/>
    </w:p>
    <w:p>
      <w:pPr>
        <w:adjustRightInd w:val="0"/>
        <w:snapToGrid w:val="0"/>
        <w:spacing w:line="312" w:lineRule="auto"/>
        <w:ind w:firstLine="640" w:firstLineChars="200"/>
        <w:rPr>
          <w:rFonts w:eastAsia="仿宋_GB2312"/>
          <w:sz w:val="32"/>
          <w:szCs w:val="32"/>
        </w:rPr>
      </w:pPr>
      <w:r>
        <w:rPr>
          <w:rFonts w:hint="eastAsia" w:eastAsia="仿宋_GB2312"/>
          <w:sz w:val="32"/>
          <w:szCs w:val="32"/>
        </w:rPr>
        <w:t>坚持以示范建设引领发展，围绕国家和区域重点发展产业，鼓励支持地方建设一批办学定位准确、专业特色鲜明、社会服务能力强、综合办学水平领先的优质专科高等职业院校，持续深化教育教学改革、大幅提升技术创新服务能力、实质性扩大国际交流合作、培养杰出技术技能人才，增强专业教师和毕业生在行业企业的影响力，提升学校对产业发展的贡献度，争创国际先进水平。</w:t>
      </w:r>
    </w:p>
    <w:p>
      <w:pPr>
        <w:pStyle w:val="4"/>
        <w:snapToGrid w:val="0"/>
        <w:spacing w:before="0" w:after="0" w:line="312" w:lineRule="auto"/>
        <w:ind w:firstLine="643"/>
        <w:rPr>
          <w:rFonts w:ascii="Times New Roman" w:hAnsi="Times New Roman" w:eastAsia="楷体_GB2312"/>
          <w:lang w:eastAsia="zh-CN"/>
        </w:rPr>
      </w:pPr>
      <w:bookmarkStart w:id="37" w:name="_Toc426445151"/>
      <w:r>
        <w:rPr>
          <w:rFonts w:hint="eastAsia" w:ascii="Times New Roman" w:hAnsi="Times New Roman" w:eastAsia="楷体_GB2312"/>
          <w:lang w:eastAsia="zh-CN"/>
        </w:rPr>
        <w:t>3</w:t>
      </w:r>
      <w:r>
        <w:rPr>
          <w:rFonts w:ascii="Times New Roman" w:hAnsi="Times New Roman" w:eastAsia="楷体_GB2312"/>
          <w:lang w:eastAsia="zh-CN"/>
        </w:rPr>
        <w:t>.</w:t>
      </w:r>
      <w:r>
        <w:rPr>
          <w:rFonts w:hint="eastAsia" w:ascii="Times New Roman" w:hAnsi="Times New Roman" w:eastAsia="楷体_GB2312"/>
          <w:lang w:eastAsia="zh-CN"/>
        </w:rPr>
        <w:t xml:space="preserve"> 引进境外优质资源</w:t>
      </w:r>
      <w:bookmarkEnd w:id="37"/>
    </w:p>
    <w:p>
      <w:pPr>
        <w:adjustRightInd w:val="0"/>
        <w:snapToGrid w:val="0"/>
        <w:spacing w:line="312" w:lineRule="auto"/>
        <w:ind w:firstLine="640" w:firstLineChars="200"/>
        <w:rPr>
          <w:rFonts w:hint="eastAsia" w:eastAsia="仿宋_GB2312"/>
          <w:sz w:val="32"/>
          <w:szCs w:val="32"/>
        </w:rPr>
      </w:pPr>
      <w:r>
        <w:rPr>
          <w:rFonts w:hint="eastAsia" w:eastAsia="仿宋_GB2312"/>
          <w:sz w:val="32"/>
          <w:szCs w:val="32"/>
        </w:rPr>
        <w:t>加强与信誉良好的国际组织、跨国企业以及职业教育发达国家开展交流与合作，探索中外合作办学的新途径、新模式。支持专科高等职业院校学习和引进国际先进成熟适用的职业标准、专业课程、教材体系和数字化教育资源；选择类型相同、专业相近的国（境）外高水平院校联合开发课程，共建专业、实验室或实训基地，建立教师交流、学生交换、学分互认等合作关系；申办聘请外国专家（文教类）许可、举办高水平中外合作办学项目和机构。</w:t>
      </w:r>
    </w:p>
    <w:p>
      <w:pPr>
        <w:pStyle w:val="4"/>
        <w:snapToGrid w:val="0"/>
        <w:spacing w:before="0" w:after="0" w:line="312" w:lineRule="auto"/>
        <w:ind w:firstLine="643"/>
        <w:rPr>
          <w:rFonts w:ascii="Times New Roman" w:hAnsi="Times New Roman" w:eastAsia="楷体_GB2312"/>
          <w:lang w:eastAsia="zh-CN"/>
        </w:rPr>
      </w:pPr>
      <w:bookmarkStart w:id="38" w:name="_Toc426445152"/>
      <w:r>
        <w:rPr>
          <w:rFonts w:hint="eastAsia" w:ascii="Times New Roman" w:hAnsi="Times New Roman" w:eastAsia="楷体_GB2312"/>
          <w:lang w:eastAsia="zh-CN"/>
        </w:rPr>
        <w:t>4</w:t>
      </w:r>
      <w:r>
        <w:rPr>
          <w:rFonts w:ascii="Times New Roman" w:hAnsi="Times New Roman" w:eastAsia="楷体_GB2312"/>
        </w:rPr>
        <w:t>.</w:t>
      </w:r>
      <w:r>
        <w:rPr>
          <w:rFonts w:hint="eastAsia" w:ascii="Times New Roman" w:hAnsi="Times New Roman" w:eastAsia="楷体_GB2312"/>
          <w:lang w:eastAsia="zh-CN"/>
        </w:rPr>
        <w:t xml:space="preserve"> 加强</w:t>
      </w:r>
      <w:r>
        <w:rPr>
          <w:rFonts w:hint="eastAsia" w:ascii="Times New Roman" w:hAnsi="Times New Roman" w:eastAsia="楷体_GB2312"/>
        </w:rPr>
        <w:t>教师</w:t>
      </w:r>
      <w:r>
        <w:rPr>
          <w:rFonts w:hint="eastAsia" w:ascii="Times New Roman" w:hAnsi="Times New Roman" w:eastAsia="楷体_GB2312"/>
          <w:lang w:eastAsia="zh-CN"/>
        </w:rPr>
        <w:t>队伍建设</w:t>
      </w:r>
      <w:bookmarkEnd w:id="38"/>
    </w:p>
    <w:p>
      <w:pPr>
        <w:adjustRightInd w:val="0"/>
        <w:snapToGrid w:val="0"/>
        <w:spacing w:line="312" w:lineRule="auto"/>
        <w:ind w:firstLine="640" w:firstLineChars="200"/>
        <w:rPr>
          <w:rFonts w:hint="eastAsia" w:eastAsia="仿宋_GB2312"/>
          <w:sz w:val="32"/>
          <w:szCs w:val="32"/>
        </w:rPr>
      </w:pPr>
      <w:r>
        <w:rPr>
          <w:rFonts w:hint="eastAsia" w:eastAsia="仿宋_GB2312"/>
          <w:sz w:val="32"/>
          <w:szCs w:val="32"/>
        </w:rPr>
        <w:t>围绕提升专业教学能力和实践动手能力，健全专科高等职业院校专任教师的培养和继续教育制度。推进高水平大学和大中型企业共建“双师型”教师培养培训基地，探索“学历教育</w:t>
      </w:r>
      <w:r>
        <w:rPr>
          <w:rFonts w:eastAsia="仿宋_GB2312"/>
          <w:sz w:val="32"/>
          <w:szCs w:val="32"/>
        </w:rPr>
        <w:t>+</w:t>
      </w:r>
      <w:r>
        <w:rPr>
          <w:rFonts w:hint="eastAsia" w:eastAsia="仿宋_GB2312"/>
          <w:sz w:val="32"/>
          <w:szCs w:val="32"/>
        </w:rPr>
        <w:t>企业实训”的培养办法；完善以老带新的青年教师培养机制；建立教师轮训制度；专业教师每五年企业实践时间累计不少于6个月。增强职业技术师范院校的职教教师培养能力。</w:t>
      </w:r>
    </w:p>
    <w:p>
      <w:pPr>
        <w:adjustRightInd w:val="0"/>
        <w:snapToGrid w:val="0"/>
        <w:spacing w:line="312" w:lineRule="auto"/>
        <w:ind w:firstLine="640" w:firstLineChars="200"/>
        <w:rPr>
          <w:rFonts w:hint="eastAsia" w:eastAsia="仿宋_GB2312"/>
          <w:sz w:val="32"/>
          <w:szCs w:val="32"/>
          <w:lang w:val="zh-CN"/>
        </w:rPr>
      </w:pPr>
      <w:r>
        <w:rPr>
          <w:rFonts w:hint="eastAsia" w:eastAsia="仿宋_GB2312"/>
          <w:sz w:val="32"/>
          <w:szCs w:val="32"/>
        </w:rPr>
        <w:t>加强以专业技术人员和高技能人才为主，主要承担专业课程教学和实践教学任务的兼职教师队伍建设。支持专科高等职业院校按照有关规定自主聘请兼职教师，学校在编制年度预算时应统筹考虑经费安排；加强兼职教师的职业教育教学规律与教学方法培训；支持兼职教师或合作企业牵头教学研究项目、组织实施教学改革；把指导学生顶岗实习的企业技术人员纳入兼职教师管理范围。将企事业单位兼职教师任教情况作为个人业绩考核的重要内容。兼职教师数按每学年授课</w:t>
      </w:r>
      <w:r>
        <w:rPr>
          <w:rFonts w:eastAsia="仿宋_GB2312"/>
          <w:sz w:val="32"/>
          <w:szCs w:val="32"/>
        </w:rPr>
        <w:t>160</w:t>
      </w:r>
      <w:r>
        <w:rPr>
          <w:rFonts w:hint="eastAsia" w:eastAsia="仿宋_GB2312"/>
          <w:sz w:val="32"/>
          <w:szCs w:val="32"/>
        </w:rPr>
        <w:t>学时为</w:t>
      </w:r>
      <w:r>
        <w:rPr>
          <w:rFonts w:eastAsia="仿宋_GB2312"/>
          <w:sz w:val="32"/>
          <w:szCs w:val="32"/>
        </w:rPr>
        <w:t>1</w:t>
      </w:r>
      <w:r>
        <w:rPr>
          <w:rFonts w:hint="eastAsia" w:eastAsia="仿宋_GB2312"/>
          <w:sz w:val="32"/>
          <w:szCs w:val="32"/>
        </w:rPr>
        <w:t>名教师计算。在有关民族地区加强双语双师型教师队伍建设。</w:t>
      </w:r>
    </w:p>
    <w:p>
      <w:pPr>
        <w:pStyle w:val="4"/>
        <w:snapToGrid w:val="0"/>
        <w:spacing w:before="0" w:after="0" w:line="312" w:lineRule="auto"/>
        <w:ind w:firstLine="643"/>
        <w:rPr>
          <w:rFonts w:ascii="Times New Roman" w:hAnsi="Times New Roman" w:eastAsia="楷体_GB2312"/>
        </w:rPr>
      </w:pPr>
      <w:bookmarkStart w:id="39" w:name="_Toc426445153"/>
      <w:r>
        <w:rPr>
          <w:rFonts w:hint="eastAsia" w:ascii="Times New Roman" w:hAnsi="Times New Roman" w:eastAsia="楷体_GB2312"/>
          <w:lang w:eastAsia="zh-CN"/>
        </w:rPr>
        <w:t>5</w:t>
      </w:r>
      <w:r>
        <w:rPr>
          <w:rFonts w:ascii="Times New Roman" w:hAnsi="Times New Roman" w:eastAsia="楷体_GB2312"/>
        </w:rPr>
        <w:t>.</w:t>
      </w:r>
      <w:r>
        <w:rPr>
          <w:rFonts w:hint="eastAsia" w:ascii="Times New Roman" w:hAnsi="Times New Roman" w:eastAsia="楷体_GB2312"/>
          <w:lang w:eastAsia="zh-CN"/>
        </w:rPr>
        <w:t xml:space="preserve"> 推进信息技术应用</w:t>
      </w:r>
      <w:bookmarkEnd w:id="39"/>
    </w:p>
    <w:p>
      <w:pPr>
        <w:adjustRightInd w:val="0"/>
        <w:snapToGrid w:val="0"/>
        <w:spacing w:line="312" w:lineRule="auto"/>
        <w:ind w:firstLine="640" w:firstLineChars="200"/>
        <w:rPr>
          <w:rFonts w:eastAsia="仿宋_GB2312"/>
          <w:sz w:val="32"/>
          <w:szCs w:val="32"/>
        </w:rPr>
      </w:pPr>
      <w:r>
        <w:rPr>
          <w:rFonts w:hint="eastAsia" w:eastAsia="仿宋_GB2312"/>
          <w:sz w:val="32"/>
          <w:szCs w:val="32"/>
        </w:rPr>
        <w:t>顺应“互联网+”的发展趋势，构建国家、省、学校三级数字教育资源共建共享体系。国家级资源主要面向专业布点多、学生数量大、行业企业需求迫切的专业领域；省级资源根据本地发展需要和职业教育基础，与国家级资源错位规划建设；校级资源根据院校自身条件补充建设，突出校本特色。研制资源建设指南和监测评价体系，在保证公共服务基础上鼓励围绕应用成效展开竞争。探索建立高效率低成本的资源可持续开发、应用、共享、交易服务模式和运作机制。</w:t>
      </w:r>
    </w:p>
    <w:p>
      <w:pPr>
        <w:adjustRightInd w:val="0"/>
        <w:snapToGrid w:val="0"/>
        <w:spacing w:line="312" w:lineRule="auto"/>
        <w:ind w:firstLine="640" w:firstLineChars="200"/>
        <w:rPr>
          <w:rFonts w:eastAsia="仿宋_GB2312"/>
          <w:sz w:val="32"/>
          <w:szCs w:val="32"/>
        </w:rPr>
      </w:pPr>
      <w:r>
        <w:rPr>
          <w:rFonts w:hint="eastAsia" w:eastAsia="仿宋_GB2312"/>
          <w:sz w:val="32"/>
          <w:szCs w:val="32"/>
        </w:rPr>
        <w:t>应用信息技术改造传统教学，促进泛在、移动、个性化学习方式的形成。在现场实习安排困难或危险性高的专业领域，开发替代性虚拟仿真实训系统；针对教学中难以理解的复杂结构复杂运动等，开发仿真教学软件。推广教学过程与生产过程实时互动的远程教学。</w:t>
      </w:r>
    </w:p>
    <w:p>
      <w:pPr>
        <w:adjustRightInd w:val="0"/>
        <w:snapToGrid w:val="0"/>
        <w:spacing w:line="312" w:lineRule="auto"/>
        <w:ind w:firstLine="640" w:firstLineChars="200"/>
        <w:rPr>
          <w:rFonts w:eastAsia="仿宋_GB2312"/>
          <w:sz w:val="32"/>
          <w:szCs w:val="32"/>
        </w:rPr>
      </w:pPr>
      <w:r>
        <w:rPr>
          <w:rFonts w:hint="eastAsia" w:eastAsia="仿宋_GB2312"/>
          <w:sz w:val="32"/>
          <w:szCs w:val="32"/>
        </w:rPr>
        <w:t>推进落实职业院校数字校园建设相关标准；加快职业教育管理信息化平台建设，消除信息孤岛；将信息技术应用能力作为教师评聘考核的重要依据。办好全国职业院校信息化教学大赛。</w:t>
      </w:r>
    </w:p>
    <w:p>
      <w:pPr>
        <w:pStyle w:val="4"/>
        <w:snapToGrid w:val="0"/>
        <w:spacing w:before="0" w:after="0" w:line="312" w:lineRule="auto"/>
        <w:ind w:firstLine="643"/>
        <w:rPr>
          <w:rFonts w:ascii="Times New Roman" w:hAnsi="Times New Roman" w:eastAsia="楷体_GB2312"/>
        </w:rPr>
      </w:pPr>
      <w:bookmarkStart w:id="40" w:name="_Toc426445154"/>
      <w:r>
        <w:rPr>
          <w:rFonts w:hint="eastAsia" w:ascii="Times New Roman" w:hAnsi="Times New Roman" w:eastAsia="楷体_GB2312"/>
          <w:lang w:eastAsia="zh-CN"/>
        </w:rPr>
        <w:t>6</w:t>
      </w:r>
      <w:r>
        <w:rPr>
          <w:rFonts w:ascii="Times New Roman" w:hAnsi="Times New Roman" w:eastAsia="楷体_GB2312"/>
        </w:rPr>
        <w:t>.</w:t>
      </w:r>
      <w:r>
        <w:rPr>
          <w:rFonts w:hint="eastAsia" w:ascii="Times New Roman" w:hAnsi="Times New Roman" w:eastAsia="楷体_GB2312"/>
          <w:lang w:eastAsia="zh-CN"/>
        </w:rPr>
        <w:t xml:space="preserve"> </w:t>
      </w:r>
      <w:r>
        <w:rPr>
          <w:rFonts w:hint="eastAsia" w:ascii="Times New Roman" w:hAnsi="Times New Roman" w:eastAsia="楷体_GB2312"/>
        </w:rPr>
        <w:t>完善高等职业教育结构</w:t>
      </w:r>
      <w:bookmarkEnd w:id="40"/>
    </w:p>
    <w:p>
      <w:pPr>
        <w:adjustRightInd w:val="0"/>
        <w:snapToGrid w:val="0"/>
        <w:spacing w:line="312" w:lineRule="auto"/>
        <w:ind w:firstLine="640" w:firstLineChars="200"/>
        <w:rPr>
          <w:rFonts w:hint="eastAsia" w:eastAsia="仿宋_GB2312"/>
          <w:sz w:val="32"/>
          <w:szCs w:val="32"/>
        </w:rPr>
      </w:pPr>
      <w:r>
        <w:rPr>
          <w:rFonts w:hint="eastAsia" w:eastAsia="仿宋_GB2312"/>
          <w:sz w:val="32"/>
          <w:szCs w:val="32"/>
        </w:rPr>
        <w:t>推进高等学校分类管理，系统构建专科、本科、专业学位研究生培养体系。加快专科高等职业院校改革步伐，深化人才培养模式改革，提升应用技术创新服务能力，拓展社区教育和终身学习服务；持续缩减本科高校举办专科高等职业教育的规模，推动部分地方普通本科高等学校转型发展，引导一批独立学院发展成为应用技术类型高校，重点举办本科层次职业教育；推动产学结合培养专业学位研究生，强化实践能力培养；开展设立专科高等职业教育学位的可行性研究。</w:t>
      </w:r>
    </w:p>
    <w:p>
      <w:pPr>
        <w:adjustRightInd w:val="0"/>
        <w:snapToGrid w:val="0"/>
        <w:spacing w:line="312" w:lineRule="auto"/>
        <w:ind w:firstLine="640" w:firstLineChars="200"/>
        <w:rPr>
          <w:rFonts w:eastAsia="仿宋_GB2312"/>
          <w:sz w:val="32"/>
          <w:szCs w:val="32"/>
        </w:rPr>
      </w:pPr>
      <w:r>
        <w:rPr>
          <w:rFonts w:hint="eastAsia" w:eastAsia="仿宋_GB2312"/>
          <w:sz w:val="32"/>
          <w:szCs w:val="32"/>
        </w:rPr>
        <w:t>健全职业教育接续培养制度。加快高等职业教育标准体系制定工作；协调各级职业教育的专业设置与目录管理；系统设计接续专业的人才培养方案和教学内容安排；从专业设置入手规范初中起点五年制高职办学，强化专科高等职业院校的主导作用；探索区别于学科型人才培养的本科层次职业教育实现形式和培养模式。探索以学分转换和学力补充为核心的职普互通机制。推进毕业证书与职业资格证书对接。</w:t>
      </w:r>
    </w:p>
    <w:p>
      <w:pPr>
        <w:pStyle w:val="4"/>
        <w:snapToGrid w:val="0"/>
        <w:spacing w:before="0" w:after="0" w:line="312" w:lineRule="auto"/>
        <w:ind w:firstLine="643"/>
        <w:rPr>
          <w:rFonts w:ascii="Times New Roman" w:hAnsi="Times New Roman" w:eastAsia="楷体_GB2312"/>
        </w:rPr>
      </w:pPr>
      <w:bookmarkStart w:id="41" w:name="_Toc426445155"/>
      <w:r>
        <w:rPr>
          <w:rFonts w:hint="eastAsia" w:ascii="Times New Roman" w:hAnsi="Times New Roman" w:eastAsia="楷体_GB2312"/>
          <w:lang w:eastAsia="zh-CN"/>
        </w:rPr>
        <w:t>7</w:t>
      </w:r>
      <w:r>
        <w:rPr>
          <w:rFonts w:ascii="Times New Roman" w:hAnsi="Times New Roman" w:eastAsia="楷体_GB2312"/>
        </w:rPr>
        <w:t>.</w:t>
      </w:r>
      <w:r>
        <w:rPr>
          <w:rFonts w:hint="eastAsia" w:ascii="Times New Roman" w:hAnsi="Times New Roman" w:eastAsia="楷体_GB2312"/>
          <w:lang w:eastAsia="zh-CN"/>
        </w:rPr>
        <w:t xml:space="preserve"> </w:t>
      </w:r>
      <w:r>
        <w:rPr>
          <w:rFonts w:hint="eastAsia" w:ascii="Times New Roman" w:hAnsi="Times New Roman" w:eastAsia="楷体_GB2312"/>
        </w:rPr>
        <w:t>推动职业教育集团化发展</w:t>
      </w:r>
      <w:bookmarkEnd w:id="41"/>
    </w:p>
    <w:p>
      <w:pPr>
        <w:pStyle w:val="6"/>
        <w:snapToGrid w:val="0"/>
        <w:spacing w:line="312" w:lineRule="auto"/>
        <w:ind w:firstLine="640" w:firstLineChars="200"/>
        <w:jc w:val="both"/>
        <w:rPr>
          <w:rFonts w:hint="eastAsia" w:eastAsia="仿宋_GB2312"/>
          <w:sz w:val="32"/>
          <w:szCs w:val="32"/>
          <w:lang w:val="en-US" w:eastAsia="zh-CN"/>
        </w:rPr>
      </w:pPr>
      <w:r>
        <w:rPr>
          <w:rFonts w:hint="eastAsia" w:eastAsia="仿宋_GB2312"/>
          <w:sz w:val="32"/>
          <w:szCs w:val="32"/>
        </w:rPr>
        <w:t>鼓励中央企业和行业龙头企业、行业</w:t>
      </w:r>
      <w:r>
        <w:rPr>
          <w:rFonts w:hint="eastAsia" w:eastAsia="仿宋_GB2312"/>
          <w:sz w:val="32"/>
          <w:szCs w:val="32"/>
          <w:lang w:eastAsia="zh-CN"/>
        </w:rPr>
        <w:t>部门</w:t>
      </w:r>
      <w:r>
        <w:rPr>
          <w:rFonts w:hint="eastAsia" w:eastAsia="仿宋_GB2312"/>
          <w:sz w:val="32"/>
          <w:szCs w:val="32"/>
        </w:rPr>
        <w:t>、高等职业院校等，围绕区域经济发展对人才的需求，牵头组建职业教育集团</w:t>
      </w:r>
      <w:r>
        <w:rPr>
          <w:rFonts w:hint="eastAsia" w:eastAsia="仿宋_GB2312"/>
          <w:sz w:val="32"/>
          <w:szCs w:val="32"/>
          <w:lang w:eastAsia="zh-CN"/>
        </w:rPr>
        <w:t>，并按照属地化管理原则在省级教育行政部门备案</w:t>
      </w:r>
      <w:r>
        <w:rPr>
          <w:rFonts w:hint="eastAsia" w:eastAsia="仿宋_GB2312"/>
          <w:sz w:val="32"/>
          <w:szCs w:val="32"/>
        </w:rPr>
        <w:t>。开展多元投</w:t>
      </w:r>
      <w:r>
        <w:rPr>
          <w:rFonts w:hint="eastAsia" w:eastAsia="仿宋_GB2312"/>
          <w:sz w:val="32"/>
          <w:szCs w:val="32"/>
          <w:lang w:eastAsia="zh-CN"/>
        </w:rPr>
        <w:t>入</w:t>
      </w:r>
      <w:r>
        <w:rPr>
          <w:rFonts w:hint="eastAsia" w:eastAsia="仿宋_GB2312"/>
          <w:sz w:val="32"/>
          <w:szCs w:val="32"/>
        </w:rPr>
        <w:t>主体依法共建职业教育集团的改革试点，</w:t>
      </w:r>
      <w:r>
        <w:rPr>
          <w:rFonts w:hint="eastAsia" w:eastAsia="仿宋_GB2312"/>
          <w:sz w:val="32"/>
          <w:szCs w:val="32"/>
          <w:lang w:eastAsia="zh-CN"/>
        </w:rPr>
        <w:t>通过</w:t>
      </w:r>
      <w:r>
        <w:rPr>
          <w:rFonts w:hint="eastAsia" w:eastAsia="仿宋_GB2312"/>
          <w:sz w:val="32"/>
          <w:szCs w:val="32"/>
        </w:rPr>
        <w:t>人员互聘、平台共</w:t>
      </w:r>
      <w:r>
        <w:rPr>
          <w:rFonts w:hint="eastAsia" w:eastAsia="仿宋_GB2312"/>
          <w:sz w:val="32"/>
          <w:szCs w:val="32"/>
          <w:lang w:eastAsia="zh-CN"/>
        </w:rPr>
        <w:t>享</w:t>
      </w:r>
      <w:r>
        <w:rPr>
          <w:rFonts w:hint="eastAsia" w:eastAsia="仿宋_GB2312"/>
          <w:sz w:val="32"/>
          <w:szCs w:val="32"/>
        </w:rPr>
        <w:t>，探索建立基于产权制度和利益共享机制的集团治理结构</w:t>
      </w:r>
      <w:r>
        <w:rPr>
          <w:rFonts w:hint="eastAsia" w:eastAsia="仿宋_GB2312"/>
          <w:sz w:val="32"/>
          <w:szCs w:val="32"/>
          <w:lang w:eastAsia="zh-CN"/>
        </w:rPr>
        <w:t>与</w:t>
      </w:r>
      <w:r>
        <w:rPr>
          <w:rFonts w:hint="eastAsia" w:eastAsia="仿宋_GB2312"/>
          <w:sz w:val="32"/>
          <w:szCs w:val="32"/>
        </w:rPr>
        <w:t>运行机制；建立基于学分</w:t>
      </w:r>
      <w:r>
        <w:rPr>
          <w:rFonts w:hint="eastAsia" w:eastAsia="仿宋_GB2312"/>
          <w:sz w:val="32"/>
          <w:szCs w:val="32"/>
          <w:lang w:eastAsia="zh-CN"/>
        </w:rPr>
        <w:t>转换</w:t>
      </w:r>
      <w:r>
        <w:rPr>
          <w:rFonts w:hint="eastAsia" w:eastAsia="仿宋_GB2312"/>
          <w:sz w:val="32"/>
          <w:szCs w:val="32"/>
        </w:rPr>
        <w:t>的集团内部教学管理模式。支持</w:t>
      </w:r>
      <w:r>
        <w:rPr>
          <w:rFonts w:hint="eastAsia" w:eastAsia="仿宋_GB2312"/>
          <w:sz w:val="32"/>
          <w:szCs w:val="32"/>
          <w:lang w:eastAsia="zh-CN"/>
        </w:rPr>
        <w:t>有特色的</w:t>
      </w:r>
      <w:r>
        <w:rPr>
          <w:rFonts w:hint="eastAsia" w:eastAsia="仿宋_GB2312"/>
          <w:sz w:val="32"/>
          <w:szCs w:val="32"/>
        </w:rPr>
        <w:t>专科高等职业院校以输出品牌、资源和管理的方式成立连锁型职业教育集团。积极吸收科研院所及其他社会组织参与职业教育集团。鼓励职业教育集团与跨国企业、境外教育机构等开展合作。</w:t>
      </w:r>
    </w:p>
    <w:p>
      <w:pPr>
        <w:pStyle w:val="4"/>
        <w:snapToGrid w:val="0"/>
        <w:spacing w:before="0" w:after="0" w:line="312" w:lineRule="auto"/>
        <w:ind w:firstLine="643"/>
        <w:rPr>
          <w:rFonts w:ascii="Times New Roman" w:hAnsi="Times New Roman" w:eastAsia="楷体_GB2312"/>
        </w:rPr>
      </w:pPr>
      <w:bookmarkStart w:id="42" w:name="_Toc426445156"/>
      <w:r>
        <w:rPr>
          <w:rFonts w:hint="eastAsia" w:ascii="Times New Roman" w:hAnsi="Times New Roman" w:eastAsia="楷体_GB2312"/>
          <w:lang w:eastAsia="zh-CN"/>
        </w:rPr>
        <w:t>8</w:t>
      </w:r>
      <w:r>
        <w:rPr>
          <w:rFonts w:ascii="Times New Roman" w:hAnsi="Times New Roman" w:eastAsia="楷体_GB2312"/>
        </w:rPr>
        <w:t>.</w:t>
      </w:r>
      <w:r>
        <w:rPr>
          <w:rFonts w:hint="eastAsia" w:ascii="Times New Roman" w:hAnsi="Times New Roman" w:eastAsia="楷体_GB2312"/>
          <w:lang w:eastAsia="zh-CN"/>
        </w:rPr>
        <w:t xml:space="preserve"> 促进</w:t>
      </w:r>
      <w:r>
        <w:rPr>
          <w:rFonts w:hint="eastAsia" w:ascii="Times New Roman" w:hAnsi="Times New Roman" w:eastAsia="楷体_GB2312"/>
        </w:rPr>
        <w:t>区域协调发展</w:t>
      </w:r>
      <w:bookmarkEnd w:id="42"/>
    </w:p>
    <w:p>
      <w:pPr>
        <w:adjustRightInd w:val="0"/>
        <w:snapToGrid w:val="0"/>
        <w:spacing w:line="312" w:lineRule="auto"/>
        <w:ind w:firstLine="640" w:firstLineChars="200"/>
        <w:rPr>
          <w:rFonts w:eastAsia="仿宋_GB2312"/>
          <w:sz w:val="32"/>
          <w:szCs w:val="32"/>
        </w:rPr>
      </w:pPr>
      <w:r>
        <w:rPr>
          <w:rFonts w:hint="eastAsia" w:eastAsia="仿宋_GB2312"/>
          <w:sz w:val="32"/>
          <w:szCs w:val="32"/>
        </w:rPr>
        <w:t>科学规划区域高等职业教育布局与发展。引导专科高等职业院校集中力量办好当地需要的特色优势专业（群）。探索基于增强发展能力的东中西部合作机制，支持东中西部学校联合办学，鼓励和支持东中部地区高等职业院校（或职教集团），通过托管、集团化办学等形式，对口支援西部地区职业教育发展。支援革命老区、西藏及四省藏区、新疆和集中连片特殊困难地区的专科高等职业院校提升办学基础能力和人才培养水平。深入推进地市级高等职业教育综合改革试点。</w:t>
      </w:r>
    </w:p>
    <w:p>
      <w:pPr>
        <w:pStyle w:val="3"/>
        <w:snapToGrid w:val="0"/>
        <w:spacing w:before="0" w:after="0" w:line="312" w:lineRule="auto"/>
        <w:ind w:firstLine="643"/>
        <w:rPr>
          <w:rFonts w:hint="eastAsia" w:ascii="黑体" w:eastAsia="黑体"/>
          <w:b/>
          <w:lang w:eastAsia="zh-CN"/>
        </w:rPr>
      </w:pPr>
      <w:bookmarkStart w:id="43" w:name="_Toc426445157"/>
      <w:r>
        <w:rPr>
          <w:rFonts w:hint="eastAsia" w:ascii="黑体" w:eastAsia="黑体"/>
          <w:b/>
        </w:rPr>
        <w:t>（二）</w:t>
      </w:r>
      <w:r>
        <w:rPr>
          <w:rFonts w:hint="eastAsia" w:ascii="黑体" w:eastAsia="黑体"/>
          <w:b/>
          <w:lang w:eastAsia="zh-CN"/>
        </w:rPr>
        <w:t>增强</w:t>
      </w:r>
      <w:r>
        <w:rPr>
          <w:rFonts w:hint="eastAsia" w:ascii="黑体" w:eastAsia="黑体"/>
          <w:b/>
        </w:rPr>
        <w:t>院校办学活力</w:t>
      </w:r>
      <w:bookmarkEnd w:id="43"/>
    </w:p>
    <w:p>
      <w:pPr>
        <w:snapToGrid w:val="0"/>
        <w:spacing w:line="312" w:lineRule="auto"/>
        <w:ind w:firstLine="640" w:firstLineChars="200"/>
        <w:rPr>
          <w:rFonts w:hint="eastAsia" w:eastAsia="仿宋_GB2312"/>
          <w:sz w:val="32"/>
          <w:szCs w:val="32"/>
        </w:rPr>
      </w:pPr>
      <w:r>
        <w:rPr>
          <w:rFonts w:hint="eastAsia" w:eastAsia="仿宋_GB2312"/>
          <w:sz w:val="32"/>
          <w:szCs w:val="32"/>
        </w:rPr>
        <w:t>尊重和激发基层首创精神，以外部体制创新、内部机制改革、院校功能拓展为抓手增强院校办学活力，提高高等职业院校对市场的适应能力和自主发展能力。</w:t>
      </w:r>
    </w:p>
    <w:p>
      <w:pPr>
        <w:pStyle w:val="4"/>
        <w:snapToGrid w:val="0"/>
        <w:spacing w:before="0" w:after="0" w:line="312" w:lineRule="auto"/>
        <w:ind w:firstLine="643"/>
        <w:rPr>
          <w:rFonts w:ascii="Times New Roman" w:hAnsi="Times New Roman" w:eastAsia="楷体_GB2312"/>
        </w:rPr>
      </w:pPr>
      <w:bookmarkStart w:id="44" w:name="_Toc426445158"/>
      <w:r>
        <w:rPr>
          <w:rFonts w:hint="eastAsia" w:ascii="Times New Roman" w:hAnsi="Times New Roman" w:eastAsia="楷体_GB2312"/>
          <w:lang w:eastAsia="zh-CN"/>
        </w:rPr>
        <w:t>1</w:t>
      </w:r>
      <w:r>
        <w:rPr>
          <w:rFonts w:ascii="Times New Roman" w:hAnsi="Times New Roman" w:eastAsia="楷体_GB2312"/>
        </w:rPr>
        <w:t>.</w:t>
      </w:r>
      <w:r>
        <w:rPr>
          <w:rFonts w:hint="eastAsia" w:ascii="Times New Roman" w:hAnsi="Times New Roman" w:eastAsia="楷体_GB2312"/>
          <w:lang w:eastAsia="zh-CN"/>
        </w:rPr>
        <w:t xml:space="preserve"> </w:t>
      </w:r>
      <w:r>
        <w:rPr>
          <w:rFonts w:hint="eastAsia" w:ascii="Times New Roman" w:hAnsi="Times New Roman" w:eastAsia="楷体_GB2312"/>
        </w:rPr>
        <w:t>推进分类考试招生</w:t>
      </w:r>
      <w:bookmarkEnd w:id="44"/>
    </w:p>
    <w:p>
      <w:pPr>
        <w:adjustRightInd w:val="0"/>
        <w:snapToGrid w:val="0"/>
        <w:spacing w:line="312" w:lineRule="auto"/>
        <w:ind w:firstLine="640" w:firstLineChars="200"/>
        <w:rPr>
          <w:rFonts w:eastAsia="仿宋_GB2312"/>
          <w:sz w:val="32"/>
          <w:szCs w:val="32"/>
        </w:rPr>
      </w:pPr>
      <w:r>
        <w:rPr>
          <w:rFonts w:hint="eastAsia" w:eastAsia="仿宋_GB2312"/>
          <w:sz w:val="32"/>
          <w:szCs w:val="32"/>
        </w:rPr>
        <w:t>健全</w:t>
      </w:r>
      <w:r>
        <w:rPr>
          <w:rFonts w:eastAsia="仿宋_GB2312"/>
          <w:sz w:val="32"/>
          <w:szCs w:val="32"/>
        </w:rPr>
        <w:t>“</w:t>
      </w:r>
      <w:r>
        <w:rPr>
          <w:rFonts w:hint="eastAsia" w:eastAsia="仿宋_GB2312"/>
          <w:sz w:val="32"/>
          <w:szCs w:val="32"/>
        </w:rPr>
        <w:t>文化素质</w:t>
      </w:r>
      <w:r>
        <w:rPr>
          <w:rFonts w:eastAsia="仿宋_GB2312"/>
          <w:sz w:val="32"/>
          <w:szCs w:val="32"/>
        </w:rPr>
        <w:t>+</w:t>
      </w:r>
      <w:r>
        <w:rPr>
          <w:rFonts w:hint="eastAsia" w:eastAsia="仿宋_GB2312"/>
          <w:sz w:val="32"/>
          <w:szCs w:val="32"/>
        </w:rPr>
        <w:t>职业技能</w:t>
      </w:r>
      <w:r>
        <w:rPr>
          <w:rFonts w:eastAsia="仿宋_GB2312"/>
          <w:sz w:val="32"/>
          <w:szCs w:val="32"/>
        </w:rPr>
        <w:t>”</w:t>
      </w:r>
      <w:r>
        <w:rPr>
          <w:rFonts w:hint="eastAsia" w:eastAsia="仿宋_GB2312"/>
          <w:sz w:val="32"/>
          <w:szCs w:val="32"/>
        </w:rPr>
        <w:t>的考试招生办法。根据不同生源特点和培养需要，规范实施专科高等职业院校以高考为基础的考试招生、单独考试招生、综合评价招生、面向中职毕业生的技能考试招生、中高职贯通招生、技能拔尖人才免试招生。研究制订职业院校应届毕业生进入高层次学校学习的办法，拓宽和完善职业教育学生继续学习通道。逐步扩大高等职业院校招收有实践经历人员的比例。适度提高专科高等职业院校招收中等职业学校毕业生的比例和本科高等学校，特别是应用技术类型本科高校，招收职业院校毕业生的比例。</w:t>
      </w:r>
    </w:p>
    <w:p>
      <w:pPr>
        <w:pStyle w:val="4"/>
        <w:snapToGrid w:val="0"/>
        <w:spacing w:before="0" w:after="0" w:line="312" w:lineRule="auto"/>
        <w:ind w:firstLine="643"/>
        <w:rPr>
          <w:rFonts w:ascii="Times New Roman" w:hAnsi="Times New Roman" w:eastAsia="楷体_GB2312"/>
        </w:rPr>
      </w:pPr>
      <w:bookmarkStart w:id="45" w:name="_Toc426445159"/>
      <w:r>
        <w:rPr>
          <w:rFonts w:hint="eastAsia" w:ascii="Times New Roman" w:hAnsi="Times New Roman" w:eastAsia="楷体_GB2312"/>
          <w:lang w:eastAsia="zh-CN"/>
        </w:rPr>
        <w:t>2</w:t>
      </w:r>
      <w:r>
        <w:rPr>
          <w:rFonts w:ascii="Times New Roman" w:hAnsi="Times New Roman" w:eastAsia="楷体_GB2312"/>
        </w:rPr>
        <w:t>.</w:t>
      </w:r>
      <w:r>
        <w:rPr>
          <w:rFonts w:hint="eastAsia" w:ascii="Times New Roman" w:hAnsi="Times New Roman" w:eastAsia="楷体_GB2312"/>
          <w:lang w:eastAsia="zh-CN"/>
        </w:rPr>
        <w:t xml:space="preserve"> </w:t>
      </w:r>
      <w:r>
        <w:rPr>
          <w:rFonts w:hint="eastAsia" w:ascii="Times New Roman" w:hAnsi="Times New Roman" w:eastAsia="楷体_GB2312"/>
        </w:rPr>
        <w:t>建立学分积累与转换制度</w:t>
      </w:r>
      <w:bookmarkEnd w:id="45"/>
    </w:p>
    <w:p>
      <w:pPr>
        <w:adjustRightInd w:val="0"/>
        <w:snapToGrid w:val="0"/>
        <w:spacing w:line="312" w:lineRule="auto"/>
        <w:ind w:firstLine="640" w:firstLineChars="200"/>
        <w:rPr>
          <w:rFonts w:hint="eastAsia" w:eastAsia="仿宋_GB2312"/>
          <w:sz w:val="32"/>
          <w:szCs w:val="32"/>
        </w:rPr>
      </w:pPr>
      <w:r>
        <w:rPr>
          <w:rFonts w:hint="eastAsia" w:eastAsia="仿宋_GB2312"/>
          <w:sz w:val="32"/>
          <w:szCs w:val="32"/>
        </w:rPr>
        <w:t>推动专科高等职业院校逐步实行学分制，推进与学分制相配套的课程开发和教学管理制度改革，建立以学分为基本单位的学习成果认定积累制度；开展不同类型学习成果的积累、认定，建立全国统一的学习者终身学习成果档案（包含各类学历和非学历教育），设立学分银行；在坚持培养要求的基础上，探索普通本科高校、高等职业院校、成人高校、社区教育机构之间的学分转移与认定。</w:t>
      </w:r>
    </w:p>
    <w:p>
      <w:pPr>
        <w:pStyle w:val="4"/>
        <w:snapToGrid w:val="0"/>
        <w:spacing w:before="0" w:after="0" w:line="312" w:lineRule="auto"/>
        <w:ind w:firstLine="643"/>
        <w:rPr>
          <w:rFonts w:ascii="Times New Roman" w:hAnsi="Times New Roman" w:eastAsia="楷体_GB2312"/>
          <w:lang w:eastAsia="zh-CN"/>
        </w:rPr>
      </w:pPr>
      <w:bookmarkStart w:id="46" w:name="_Toc426445160"/>
      <w:r>
        <w:rPr>
          <w:rFonts w:hint="eastAsia" w:ascii="Times New Roman" w:hAnsi="Times New Roman" w:eastAsia="楷体_GB2312"/>
          <w:lang w:eastAsia="zh-CN"/>
        </w:rPr>
        <w:t>3</w:t>
      </w:r>
      <w:r>
        <w:rPr>
          <w:rFonts w:ascii="Times New Roman" w:hAnsi="Times New Roman" w:eastAsia="楷体_GB2312"/>
        </w:rPr>
        <w:t>.</w:t>
      </w:r>
      <w:r>
        <w:rPr>
          <w:rFonts w:hint="eastAsia" w:ascii="Times New Roman" w:hAnsi="Times New Roman" w:eastAsia="楷体_GB2312"/>
          <w:lang w:eastAsia="zh-CN"/>
        </w:rPr>
        <w:t xml:space="preserve"> 探索混合所有制办学</w:t>
      </w:r>
      <w:bookmarkEnd w:id="46"/>
    </w:p>
    <w:p>
      <w:pPr>
        <w:adjustRightInd w:val="0"/>
        <w:snapToGrid w:val="0"/>
        <w:spacing w:line="312" w:lineRule="auto"/>
        <w:ind w:firstLine="640" w:firstLineChars="200"/>
        <w:rPr>
          <w:rFonts w:eastAsia="仿宋_GB2312"/>
          <w:sz w:val="32"/>
          <w:szCs w:val="32"/>
        </w:rPr>
      </w:pPr>
      <w:r>
        <w:rPr>
          <w:rFonts w:hint="eastAsia" w:eastAsia="仿宋_GB2312"/>
          <w:sz w:val="32"/>
          <w:szCs w:val="32"/>
        </w:rPr>
        <w:t>深化办学体制改革，鼓励社会力量以资本、知识、技术、管理等要素参与公办高等职业院校改革。试点社会力量通过政府购买服务、委托管理等方式参与办学活力不足的公办高等职业院校改革。鼓励民间资金与公办优质教育资源嫁接合作，在经济欠发达地区扩大优质高等职业教育资源。鼓励企业和公办高等职业院校合作举办适用公办学校政策、具有混合所有制特征的二级学院。鼓励专业技术人才、高技能人才在高等职业院校建设股份合作制工作室。支持成立混合所有制高等职业院校联盟。鼓励行业企业办和民办高等职业院校建立教师年金制度。支持营利性民办高等职业院校探索建立股权激励机制。</w:t>
      </w:r>
    </w:p>
    <w:p>
      <w:pPr>
        <w:pStyle w:val="4"/>
        <w:snapToGrid w:val="0"/>
        <w:spacing w:before="0" w:after="0" w:line="312" w:lineRule="auto"/>
        <w:ind w:firstLine="643"/>
        <w:rPr>
          <w:rFonts w:ascii="Times New Roman" w:hAnsi="Times New Roman" w:eastAsia="楷体_GB2312"/>
        </w:rPr>
      </w:pPr>
      <w:bookmarkStart w:id="47" w:name="_Toc426445161"/>
      <w:r>
        <w:rPr>
          <w:rFonts w:hint="eastAsia" w:ascii="Times New Roman" w:hAnsi="Times New Roman" w:eastAsia="楷体_GB2312"/>
          <w:lang w:eastAsia="zh-CN"/>
        </w:rPr>
        <w:t>4</w:t>
      </w:r>
      <w:r>
        <w:rPr>
          <w:rFonts w:ascii="Times New Roman" w:hAnsi="Times New Roman" w:eastAsia="楷体_GB2312"/>
        </w:rPr>
        <w:t>.</w:t>
      </w:r>
      <w:r>
        <w:rPr>
          <w:rFonts w:hint="eastAsia" w:ascii="Times New Roman" w:hAnsi="Times New Roman" w:eastAsia="楷体_GB2312"/>
          <w:lang w:eastAsia="zh-CN"/>
        </w:rPr>
        <w:t xml:space="preserve"> </w:t>
      </w:r>
      <w:r>
        <w:rPr>
          <w:rFonts w:hint="eastAsia" w:ascii="Times New Roman" w:hAnsi="Times New Roman" w:eastAsia="楷体_GB2312"/>
        </w:rPr>
        <w:t>鼓励行业参与职业教育</w:t>
      </w:r>
      <w:bookmarkEnd w:id="47"/>
    </w:p>
    <w:p>
      <w:pPr>
        <w:adjustRightInd w:val="0"/>
        <w:snapToGrid w:val="0"/>
        <w:spacing w:line="312" w:lineRule="auto"/>
        <w:ind w:firstLine="640" w:firstLineChars="200"/>
        <w:rPr>
          <w:rFonts w:hint="eastAsia" w:eastAsia="仿宋_GB2312"/>
          <w:sz w:val="32"/>
          <w:szCs w:val="32"/>
        </w:rPr>
      </w:pPr>
      <w:r>
        <w:rPr>
          <w:rFonts w:hint="eastAsia" w:eastAsia="仿宋_GB2312"/>
          <w:sz w:val="32"/>
          <w:szCs w:val="32"/>
        </w:rPr>
        <w:t>健全与行业联合召开职业教育工作会议的机制，联合制定行业职业教育发展指导意见。支持行业根据发展需要举办高等职业教育，切实履行举办方责任。鼓励和支持行业加强对本系统、本行业高等职业院校的规划与指导；扶持行业加强指导能力建设；以购买服务方式支持行业职业教育教学指导委员会在规定的领域范围内自主开展工作，在指导专业和课程改革、协调师资队伍建设、推进校企合作、开展教学评价等方面发挥作用。推动建立行业人力资源需求预测、就业形势分析、专业预警定期发布制度。办好全国职业院校技能大赛。</w:t>
      </w:r>
    </w:p>
    <w:p>
      <w:pPr>
        <w:pStyle w:val="4"/>
        <w:snapToGrid w:val="0"/>
        <w:spacing w:before="0" w:after="0" w:line="312" w:lineRule="auto"/>
        <w:ind w:firstLine="643"/>
        <w:rPr>
          <w:rFonts w:ascii="Times New Roman" w:hAnsi="Times New Roman" w:eastAsia="楷体_GB2312"/>
        </w:rPr>
      </w:pPr>
      <w:bookmarkStart w:id="48" w:name="_Toc426445162"/>
      <w:r>
        <w:rPr>
          <w:rFonts w:hint="eastAsia" w:ascii="Times New Roman" w:hAnsi="Times New Roman" w:eastAsia="楷体_GB2312"/>
          <w:lang w:eastAsia="zh-CN"/>
        </w:rPr>
        <w:t>5</w:t>
      </w:r>
      <w:r>
        <w:rPr>
          <w:rFonts w:ascii="Times New Roman" w:hAnsi="Times New Roman" w:eastAsia="楷体_GB2312"/>
        </w:rPr>
        <w:t>.</w:t>
      </w:r>
      <w:r>
        <w:rPr>
          <w:rFonts w:hint="eastAsia" w:ascii="Times New Roman" w:hAnsi="Times New Roman" w:eastAsia="楷体_GB2312"/>
          <w:lang w:eastAsia="zh-CN"/>
        </w:rPr>
        <w:t xml:space="preserve"> </w:t>
      </w:r>
      <w:r>
        <w:rPr>
          <w:rFonts w:hint="eastAsia" w:ascii="Times New Roman" w:hAnsi="Times New Roman" w:eastAsia="楷体_GB2312"/>
        </w:rPr>
        <w:t>发挥企业办学主体作用</w:t>
      </w:r>
      <w:bookmarkEnd w:id="48"/>
    </w:p>
    <w:p>
      <w:pPr>
        <w:pStyle w:val="6"/>
        <w:snapToGrid w:val="0"/>
        <w:spacing w:line="312" w:lineRule="auto"/>
        <w:ind w:firstLine="640" w:firstLineChars="200"/>
        <w:jc w:val="both"/>
        <w:rPr>
          <w:rFonts w:hint="eastAsia" w:eastAsia="仿宋_GB2312"/>
          <w:sz w:val="32"/>
          <w:szCs w:val="32"/>
          <w:lang w:eastAsia="zh-CN"/>
        </w:rPr>
      </w:pPr>
      <w:r>
        <w:rPr>
          <w:rFonts w:hint="eastAsia" w:eastAsia="仿宋_GB2312"/>
          <w:sz w:val="32"/>
          <w:szCs w:val="32"/>
        </w:rPr>
        <w:t>支持企业发挥资源技术优势举办高等职业院校，按照职业教育规律规范管理。鼓励企业将</w:t>
      </w:r>
      <w:r>
        <w:rPr>
          <w:rFonts w:hint="eastAsia" w:eastAsia="仿宋_GB2312"/>
          <w:sz w:val="32"/>
          <w:szCs w:val="32"/>
          <w:lang w:val="en-US" w:eastAsia="zh-CN"/>
        </w:rPr>
        <w:t>职工教育培训交由高等职业院校承担，鼓励企业与学校共建共管职工培训中心。支持企业建设兼具生产与教学功能的公共实训基地。规模以上企业设立专门机构（或人员）负责职工教育培训、对接高等职业院校，设立学生实习和教师实践岗位。支持地方各级政府在安排职业教育专项经费、制定支持政策、购买社会服务时，将企业举办的公办性质高等职业院校与其他公办院校同等对待。对企业因接收</w:t>
      </w:r>
      <w:r>
        <w:rPr>
          <w:rFonts w:hint="eastAsia" w:eastAsia="仿宋_GB2312"/>
          <w:sz w:val="32"/>
          <w:szCs w:val="32"/>
        </w:rPr>
        <w:t>实习生所实际发生的与取得收入有关的合理支出，按现行税收法律规定在计算应纳税所得额时扣除。将企业开展职业教育的情况纳入企业社会责任报告。</w:t>
      </w:r>
      <w:r>
        <w:rPr>
          <w:rFonts w:hint="eastAsia" w:eastAsia="仿宋_GB2312"/>
          <w:sz w:val="32"/>
          <w:szCs w:val="32"/>
          <w:lang w:val="en-US" w:eastAsia="zh-CN"/>
        </w:rPr>
        <w:t>研制职业教育校企合作促进办法。</w:t>
      </w:r>
    </w:p>
    <w:p>
      <w:pPr>
        <w:pStyle w:val="4"/>
        <w:snapToGrid w:val="0"/>
        <w:spacing w:before="0" w:after="0" w:line="312" w:lineRule="auto"/>
        <w:ind w:firstLine="643"/>
        <w:rPr>
          <w:rFonts w:ascii="Times New Roman" w:hAnsi="Times New Roman" w:eastAsia="楷体_GB2312"/>
          <w:lang w:eastAsia="zh-CN"/>
        </w:rPr>
      </w:pPr>
      <w:bookmarkStart w:id="49" w:name="_Toc426445163"/>
      <w:r>
        <w:rPr>
          <w:rFonts w:hint="eastAsia" w:ascii="Times New Roman" w:hAnsi="Times New Roman" w:eastAsia="楷体_GB2312"/>
          <w:lang w:eastAsia="zh-CN"/>
        </w:rPr>
        <w:t>6</w:t>
      </w:r>
      <w:r>
        <w:rPr>
          <w:rFonts w:ascii="Times New Roman" w:hAnsi="Times New Roman" w:eastAsia="楷体_GB2312"/>
        </w:rPr>
        <w:t>.</w:t>
      </w:r>
      <w:r>
        <w:rPr>
          <w:rFonts w:hint="eastAsia" w:ascii="Times New Roman" w:hAnsi="Times New Roman" w:eastAsia="楷体_GB2312"/>
          <w:lang w:eastAsia="zh-CN"/>
        </w:rPr>
        <w:t xml:space="preserve"> 落实高等职业院校办学自主权</w:t>
      </w:r>
      <w:bookmarkEnd w:id="49"/>
    </w:p>
    <w:p>
      <w:pPr>
        <w:pStyle w:val="6"/>
        <w:snapToGrid w:val="0"/>
        <w:spacing w:line="312" w:lineRule="auto"/>
        <w:ind w:firstLine="640" w:firstLineChars="200"/>
        <w:jc w:val="both"/>
        <w:rPr>
          <w:rFonts w:hint="eastAsia" w:eastAsia="仿宋_GB2312"/>
          <w:sz w:val="32"/>
          <w:szCs w:val="32"/>
          <w:lang w:eastAsia="zh-CN"/>
        </w:rPr>
      </w:pPr>
      <w:r>
        <w:rPr>
          <w:rFonts w:hint="eastAsia" w:eastAsia="仿宋_GB2312"/>
          <w:sz w:val="32"/>
          <w:szCs w:val="32"/>
          <w:lang w:eastAsia="zh-CN"/>
        </w:rPr>
        <w:t>按照中央关于分类推进事业单位改革的精神，构建政府、高校、社会新型关系，加快转变政府职能，督促地（市、州）政府进一步明确管理高等职业教育的职责与权限，进一步明确高等职业院校的办学权利和义务，更好落实学校办学主体地位。简政放权，支持学校自主确定教学科研行政等内部组织机构的设置和人员配备，支持高校面向社会依法依规自主公开招聘教学科研行政管理等各类人员、自主选聘教职工、自主确定内部收入分配；放管结合，健全以章程为统领规范行使办学自主权的制度体系；优化服务，履行好政府保基本的兜底责任和监管职责。</w:t>
      </w:r>
    </w:p>
    <w:p>
      <w:pPr>
        <w:pStyle w:val="4"/>
        <w:snapToGrid w:val="0"/>
        <w:spacing w:before="0" w:after="0" w:line="312" w:lineRule="auto"/>
        <w:ind w:firstLine="643"/>
        <w:rPr>
          <w:rFonts w:ascii="Times New Roman" w:hAnsi="Times New Roman" w:eastAsia="楷体_GB2312"/>
          <w:lang w:eastAsia="zh-CN"/>
        </w:rPr>
      </w:pPr>
      <w:bookmarkStart w:id="50" w:name="_Toc426445164"/>
      <w:r>
        <w:rPr>
          <w:rFonts w:hint="eastAsia" w:ascii="Times New Roman" w:hAnsi="Times New Roman" w:eastAsia="楷体_GB2312"/>
          <w:lang w:eastAsia="zh-CN"/>
        </w:rPr>
        <w:t>7</w:t>
      </w:r>
      <w:r>
        <w:rPr>
          <w:rFonts w:ascii="Times New Roman" w:hAnsi="Times New Roman" w:eastAsia="楷体_GB2312"/>
        </w:rPr>
        <w:t>.</w:t>
      </w:r>
      <w:r>
        <w:rPr>
          <w:rFonts w:hint="eastAsia" w:ascii="Times New Roman" w:hAnsi="Times New Roman" w:eastAsia="楷体_GB2312"/>
          <w:lang w:eastAsia="zh-CN"/>
        </w:rPr>
        <w:t xml:space="preserve"> 支持民办教育发展</w:t>
      </w:r>
      <w:bookmarkEnd w:id="50"/>
    </w:p>
    <w:p>
      <w:pPr>
        <w:adjustRightInd w:val="0"/>
        <w:snapToGrid w:val="0"/>
        <w:spacing w:line="312" w:lineRule="auto"/>
        <w:ind w:firstLine="640" w:firstLineChars="200"/>
        <w:rPr>
          <w:rFonts w:eastAsia="仿宋_GB2312"/>
          <w:sz w:val="32"/>
          <w:szCs w:val="32"/>
        </w:rPr>
      </w:pPr>
      <w:r>
        <w:rPr>
          <w:rFonts w:hint="eastAsia" w:eastAsia="仿宋_GB2312"/>
          <w:sz w:val="32"/>
          <w:szCs w:val="32"/>
        </w:rPr>
        <w:t>创新民办高等职业教育办学模式，社会声誉好、教学质量高、就业有保障的民办专科高等职业院校，可由省级政府统筹、在核定的办学规模内自主确定招生方案。落实教育、财税、土地、金融等支持政策，鼓励各类办学主体通过独资、合资、合作等形式举办民办高等职业教育，稳步扩大优质民办职业教育资源。以政府规划、社会贡献和办学质量为依据，探索政府通过“以奖代补”、购买服务等方式支持民办高等职业教育发展和鼓励社会力量参与高等职业教育办学的办法。</w:t>
      </w:r>
    </w:p>
    <w:p>
      <w:pPr>
        <w:pStyle w:val="4"/>
        <w:snapToGrid w:val="0"/>
        <w:spacing w:before="0" w:after="0" w:line="312" w:lineRule="auto"/>
        <w:ind w:firstLine="643"/>
        <w:rPr>
          <w:rFonts w:ascii="Times New Roman" w:hAnsi="Times New Roman" w:eastAsia="楷体_GB2312"/>
          <w:lang w:eastAsia="zh-CN"/>
        </w:rPr>
      </w:pPr>
      <w:bookmarkStart w:id="51" w:name="_Toc426445165"/>
      <w:r>
        <w:rPr>
          <w:rFonts w:hint="eastAsia"/>
          <w:lang w:eastAsia="zh-CN"/>
        </w:rPr>
        <w:t>8</w:t>
      </w:r>
      <w:r>
        <w:rPr>
          <w:rFonts w:ascii="Times New Roman" w:hAnsi="Times New Roman" w:eastAsia="楷体_GB2312"/>
          <w:lang w:eastAsia="zh-CN"/>
        </w:rPr>
        <w:t>.</w:t>
      </w:r>
      <w:r>
        <w:rPr>
          <w:rFonts w:hint="eastAsia" w:ascii="Times New Roman" w:hAnsi="Times New Roman" w:eastAsia="楷体_GB2312"/>
          <w:lang w:eastAsia="zh-CN"/>
        </w:rPr>
        <w:t xml:space="preserve"> 服务社区教育和终身学习</w:t>
      </w:r>
      <w:bookmarkEnd w:id="51"/>
    </w:p>
    <w:p>
      <w:pPr>
        <w:adjustRightInd w:val="0"/>
        <w:snapToGrid w:val="0"/>
        <w:spacing w:line="312" w:lineRule="auto"/>
        <w:ind w:firstLine="640" w:firstLineChars="200"/>
        <w:rPr>
          <w:rFonts w:eastAsia="仿宋_GB2312"/>
          <w:sz w:val="32"/>
          <w:szCs w:val="32"/>
        </w:rPr>
      </w:pPr>
      <w:r>
        <w:rPr>
          <w:rFonts w:hint="eastAsia" w:eastAsia="仿宋_GB2312"/>
          <w:sz w:val="32"/>
          <w:szCs w:val="32"/>
        </w:rPr>
        <w:t>专科高等职业院校要发挥场地、设施、师资、教学实训设备、网络及教育资源优势，向社区开放服务；面向社区成员开展与生活密切相关的职业技能培训，以及民主法治、文明礼仪、保健养生、生态文明等方面的教育活动。开设养生保健、文化艺术、信息技术、家政服务、社会工作、医疗护理、园艺花卉、传统工艺等专业的职业院校，应结合学校特色率先开展老年教育。与社区教育机构建立联席会议制度，为社区居民代表参与学校发展规划和社区教育服务计划提供平台，协调社区企事业单位为学生实习实训提供条件，开展校园周边环境综合治理。</w:t>
      </w:r>
    </w:p>
    <w:p>
      <w:pPr>
        <w:pStyle w:val="6"/>
        <w:snapToGrid w:val="0"/>
        <w:spacing w:line="312" w:lineRule="auto"/>
        <w:ind w:firstLine="640" w:firstLineChars="200"/>
        <w:jc w:val="both"/>
        <w:rPr>
          <w:rFonts w:hint="eastAsia" w:eastAsia="仿宋_GB2312"/>
          <w:sz w:val="32"/>
          <w:szCs w:val="32"/>
          <w:lang w:val="en-US" w:eastAsia="zh-CN"/>
        </w:rPr>
      </w:pPr>
      <w:r>
        <w:rPr>
          <w:rFonts w:hint="eastAsia" w:eastAsia="仿宋_GB2312"/>
          <w:sz w:val="32"/>
          <w:szCs w:val="32"/>
          <w:lang w:val="en-US" w:eastAsia="zh-CN"/>
        </w:rPr>
        <w:t>学历教育和非学历培训并举、全日制与非全日制并重发展多样化的职工继续教育，为劳动者终身学习提供更多机会。以职业道德、职业发展、就业准备、创业指导等为主要内容开展就业创业教育，为普通教育学生提供职业发展辅导，为劳动者多渠道多形式提高就业质量服务。鼓励专科高等职业院校主动承接政府和企事业单位组织的职业</w:t>
      </w:r>
      <w:r>
        <w:rPr>
          <w:rFonts w:hint="eastAsia" w:eastAsia="仿宋_GB2312"/>
          <w:sz w:val="32"/>
          <w:szCs w:val="32"/>
        </w:rPr>
        <w:t>培训，按照国家有关规定开展退役士兵职业教育培训。</w:t>
      </w:r>
    </w:p>
    <w:p>
      <w:pPr>
        <w:pStyle w:val="3"/>
        <w:snapToGrid w:val="0"/>
        <w:spacing w:before="0" w:after="0" w:line="312" w:lineRule="auto"/>
        <w:ind w:firstLine="643"/>
        <w:rPr>
          <w:rFonts w:hint="eastAsia" w:ascii="黑体" w:eastAsia="黑体"/>
          <w:b/>
          <w:lang w:eastAsia="zh-CN"/>
        </w:rPr>
      </w:pPr>
      <w:bookmarkStart w:id="52" w:name="_Toc426445166"/>
      <w:r>
        <w:rPr>
          <w:rFonts w:hint="eastAsia" w:ascii="黑体" w:eastAsia="黑体"/>
          <w:b/>
        </w:rPr>
        <w:t>（三）</w:t>
      </w:r>
      <w:r>
        <w:rPr>
          <w:rFonts w:hint="eastAsia" w:ascii="黑体" w:eastAsia="黑体"/>
          <w:b/>
          <w:lang w:eastAsia="zh-CN"/>
        </w:rPr>
        <w:t>加强</w:t>
      </w:r>
      <w:r>
        <w:rPr>
          <w:rFonts w:hint="eastAsia" w:ascii="黑体" w:eastAsia="黑体"/>
          <w:b/>
        </w:rPr>
        <w:t>技术</w:t>
      </w:r>
      <w:r>
        <w:rPr>
          <w:rFonts w:hint="eastAsia" w:ascii="黑体" w:eastAsia="黑体"/>
          <w:b/>
          <w:lang w:eastAsia="zh-CN"/>
        </w:rPr>
        <w:t>技能积累</w:t>
      </w:r>
      <w:bookmarkEnd w:id="52"/>
    </w:p>
    <w:p>
      <w:pPr>
        <w:adjustRightInd w:val="0"/>
        <w:snapToGrid w:val="0"/>
        <w:spacing w:line="312" w:lineRule="auto"/>
        <w:ind w:firstLine="640" w:firstLineChars="200"/>
        <w:rPr>
          <w:rFonts w:eastAsia="仿宋_GB2312"/>
          <w:sz w:val="32"/>
          <w:szCs w:val="32"/>
        </w:rPr>
      </w:pPr>
      <w:r>
        <w:rPr>
          <w:rFonts w:hint="eastAsia" w:eastAsia="仿宋_GB2312"/>
          <w:sz w:val="32"/>
          <w:szCs w:val="32"/>
        </w:rPr>
        <w:t>服务区域、产业发展和国家外交政策需要，紧密结合培养杰出人才和加强教师队伍建设，加强应用技术的传承应用研发能力，提高培养人才的适用性和技术服务的附加值。</w:t>
      </w:r>
    </w:p>
    <w:p>
      <w:pPr>
        <w:pStyle w:val="4"/>
        <w:snapToGrid w:val="0"/>
        <w:spacing w:before="0" w:after="0" w:line="312" w:lineRule="auto"/>
        <w:ind w:firstLine="643"/>
        <w:rPr>
          <w:rFonts w:ascii="Times New Roman" w:hAnsi="Times New Roman" w:eastAsia="楷体_GB2312"/>
          <w:lang w:eastAsia="zh-CN"/>
        </w:rPr>
      </w:pPr>
      <w:bookmarkStart w:id="53" w:name="_Toc426445167"/>
      <w:r>
        <w:rPr>
          <w:rFonts w:ascii="Times New Roman" w:hAnsi="Times New Roman" w:eastAsia="楷体_GB2312"/>
        </w:rPr>
        <w:t>1.</w:t>
      </w:r>
      <w:r>
        <w:rPr>
          <w:rFonts w:hint="eastAsia" w:ascii="Times New Roman" w:hAnsi="Times New Roman" w:eastAsia="楷体_GB2312"/>
          <w:lang w:eastAsia="zh-CN"/>
        </w:rPr>
        <w:t xml:space="preserve"> </w:t>
      </w:r>
      <w:r>
        <w:rPr>
          <w:rFonts w:hint="eastAsia" w:ascii="Times New Roman" w:hAnsi="Times New Roman" w:eastAsia="楷体_GB2312"/>
        </w:rPr>
        <w:t>服务</w:t>
      </w:r>
      <w:r>
        <w:rPr>
          <w:rFonts w:hint="eastAsia" w:ascii="Times New Roman" w:hAnsi="Times New Roman" w:eastAsia="楷体_GB2312"/>
          <w:lang w:eastAsia="zh-CN"/>
        </w:rPr>
        <w:t>产业转型升级</w:t>
      </w:r>
      <w:bookmarkEnd w:id="53"/>
    </w:p>
    <w:p>
      <w:pPr>
        <w:adjustRightInd w:val="0"/>
        <w:snapToGrid w:val="0"/>
        <w:spacing w:line="312" w:lineRule="auto"/>
        <w:ind w:firstLine="640" w:firstLineChars="200"/>
        <w:rPr>
          <w:rFonts w:eastAsia="仿宋_GB2312"/>
          <w:sz w:val="32"/>
          <w:szCs w:val="32"/>
        </w:rPr>
      </w:pPr>
      <w:r>
        <w:rPr>
          <w:rFonts w:hint="eastAsia" w:eastAsia="仿宋_GB2312"/>
          <w:sz w:val="32"/>
          <w:szCs w:val="32"/>
        </w:rPr>
        <w:t>根据区域发展规划和区域内产业转型升级需要优化院校布局和专业结构，将专科高等职业院校建设成为区域内技术技能积累的重要资源集聚地。支持新兴产业发展，加强现代服务业亟需人才培养，加快满足社会建设和社会管理人才需求。重点服务中国制造2025，优先保证新一代信息技术产业、高档数控机床和机器人、航空航天装备、海洋工程装备及高技术船舶、先进轨道交通装备、节能与新能源汽车、电力装备、农机装备、新材料、生物医药及高性能医疗器械产业相关专业的布局与发展。建立产业结构调整驱动专业设置与改革、产业技术进步驱动课程改革的机制。鼓励有条件的专科高等职业院校积极与军队合作，为现役士兵开展培训，为技术兵种定向培养直招士官。</w:t>
      </w:r>
    </w:p>
    <w:p>
      <w:pPr>
        <w:pStyle w:val="4"/>
        <w:snapToGrid w:val="0"/>
        <w:spacing w:before="0" w:after="0" w:line="312" w:lineRule="auto"/>
        <w:ind w:firstLine="643"/>
        <w:rPr>
          <w:rFonts w:ascii="Times New Roman" w:hAnsi="Times New Roman" w:eastAsia="楷体_GB2312"/>
        </w:rPr>
      </w:pPr>
      <w:bookmarkStart w:id="54" w:name="_Toc426445168"/>
      <w:r>
        <w:rPr>
          <w:rFonts w:hint="eastAsia" w:ascii="Times New Roman" w:hAnsi="Times New Roman" w:eastAsia="楷体_GB2312"/>
          <w:lang w:eastAsia="zh-CN"/>
        </w:rPr>
        <w:t>2</w:t>
      </w:r>
      <w:r>
        <w:rPr>
          <w:rFonts w:ascii="Times New Roman" w:hAnsi="Times New Roman" w:eastAsia="楷体_GB2312"/>
        </w:rPr>
        <w:t>.</w:t>
      </w:r>
      <w:r>
        <w:rPr>
          <w:rFonts w:hint="eastAsia" w:ascii="Times New Roman" w:hAnsi="Times New Roman" w:eastAsia="楷体_GB2312"/>
          <w:lang w:eastAsia="zh-CN"/>
        </w:rPr>
        <w:t xml:space="preserve"> 支持优质产能</w:t>
      </w:r>
      <w:r>
        <w:rPr>
          <w:rFonts w:hint="eastAsia" w:ascii="Times New Roman" w:hAnsi="Times New Roman" w:eastAsia="楷体_GB2312"/>
        </w:rPr>
        <w:t>“走出去”</w:t>
      </w:r>
      <w:bookmarkEnd w:id="54"/>
    </w:p>
    <w:p>
      <w:pPr>
        <w:adjustRightInd w:val="0"/>
        <w:snapToGrid w:val="0"/>
        <w:spacing w:line="312" w:lineRule="auto"/>
        <w:ind w:firstLine="640" w:firstLineChars="200"/>
        <w:rPr>
          <w:rFonts w:eastAsia="仿宋_GB2312"/>
          <w:sz w:val="32"/>
          <w:szCs w:val="32"/>
        </w:rPr>
      </w:pPr>
      <w:r>
        <w:rPr>
          <w:rFonts w:hint="eastAsia" w:eastAsia="仿宋_GB2312"/>
          <w:sz w:val="32"/>
          <w:szCs w:val="32"/>
        </w:rPr>
        <w:t>配合国家“一带一路”战略，助力优质产能走出去，扩大与“一带一路”沿线国家的职业教育合作。主动发掘和服务“走出去”企业的需求，培养具有国际视野、通晓国际规则的技术技能人才和中国企业海外生产经营需要的本土人才。支持专科高等职业院校将国际先进工艺流程、产品标准、技术标准、服务标准、管理方法等引入教学内容；与积极拓展国际业务的大型企业联合办学，共建国际化人才培养基地；发挥专科高等职业院校专业优势，配合“走出去”企业面向当地员工开展技术技能培训和学历职业教育。</w:t>
      </w:r>
    </w:p>
    <w:p>
      <w:pPr>
        <w:pStyle w:val="4"/>
        <w:snapToGrid w:val="0"/>
        <w:spacing w:before="0" w:after="0" w:line="312" w:lineRule="auto"/>
        <w:ind w:firstLine="643"/>
        <w:rPr>
          <w:rFonts w:ascii="Times New Roman" w:hAnsi="Times New Roman" w:eastAsia="楷体_GB2312"/>
        </w:rPr>
      </w:pPr>
      <w:bookmarkStart w:id="55" w:name="_Toc426445169"/>
      <w:r>
        <w:rPr>
          <w:rFonts w:hint="eastAsia" w:ascii="Times New Roman" w:hAnsi="Times New Roman" w:eastAsia="楷体_GB2312"/>
          <w:lang w:eastAsia="zh-CN"/>
        </w:rPr>
        <w:t>3</w:t>
      </w:r>
      <w:r>
        <w:rPr>
          <w:rFonts w:ascii="Times New Roman" w:hAnsi="Times New Roman" w:eastAsia="楷体_GB2312"/>
        </w:rPr>
        <w:t>.</w:t>
      </w:r>
      <w:r>
        <w:rPr>
          <w:rFonts w:hint="eastAsia" w:ascii="Times New Roman" w:hAnsi="Times New Roman" w:eastAsia="楷体_GB2312"/>
          <w:lang w:eastAsia="zh-CN"/>
        </w:rPr>
        <w:t xml:space="preserve"> 深化校企合作发展</w:t>
      </w:r>
      <w:bookmarkEnd w:id="55"/>
    </w:p>
    <w:p>
      <w:pPr>
        <w:adjustRightInd w:val="0"/>
        <w:snapToGrid w:val="0"/>
        <w:spacing w:line="312" w:lineRule="auto"/>
        <w:ind w:firstLine="640" w:firstLineChars="200"/>
        <w:rPr>
          <w:rFonts w:hint="eastAsia" w:eastAsia="仿宋_GB2312"/>
          <w:sz w:val="32"/>
          <w:szCs w:val="32"/>
        </w:rPr>
      </w:pPr>
      <w:r>
        <w:rPr>
          <w:rFonts w:hint="eastAsia" w:eastAsia="仿宋_GB2312"/>
          <w:sz w:val="32"/>
          <w:szCs w:val="32"/>
        </w:rPr>
        <w:t>推动专科高等职业院校与当地企业合作办学、合作育人、合作发展，鼓励校企共建以现代学徒制培养为主的特色学院；以市场为导向多方共建应用技术协同创新中心。对于师生拥有自主知识产权的技术开发、产品设计、发明创造等成果，选择自主创业的，按规定给予启动资金贷款贴息、税费减免等政策扶持；与企业合作转化的，可按照法律规定在企业作价入股。支持学校与技艺大师、非物质文化遗产传承人等合作建立技能大师工作室，开展技艺传承创新等活动。</w:t>
      </w:r>
    </w:p>
    <w:p>
      <w:pPr>
        <w:pStyle w:val="4"/>
        <w:snapToGrid w:val="0"/>
        <w:spacing w:before="0" w:after="0" w:line="312" w:lineRule="auto"/>
        <w:ind w:firstLine="643"/>
        <w:rPr>
          <w:rFonts w:ascii="Times New Roman" w:hAnsi="Times New Roman" w:eastAsia="楷体_GB2312"/>
          <w:lang w:eastAsia="zh-CN"/>
        </w:rPr>
      </w:pPr>
      <w:bookmarkStart w:id="56" w:name="_Toc426445170"/>
      <w:r>
        <w:rPr>
          <w:rFonts w:hint="eastAsia" w:ascii="Times New Roman" w:hAnsi="Times New Roman" w:eastAsia="楷体_GB2312"/>
          <w:lang w:eastAsia="zh-CN"/>
        </w:rPr>
        <w:t>4</w:t>
      </w:r>
      <w:r>
        <w:rPr>
          <w:rFonts w:ascii="Times New Roman" w:hAnsi="Times New Roman" w:eastAsia="楷体_GB2312"/>
        </w:rPr>
        <w:t>.</w:t>
      </w:r>
      <w:r>
        <w:rPr>
          <w:rFonts w:hint="eastAsia" w:ascii="Times New Roman" w:hAnsi="Times New Roman" w:eastAsia="楷体_GB2312"/>
          <w:lang w:eastAsia="zh-CN"/>
        </w:rPr>
        <w:t xml:space="preserve"> 加强创新创业教育</w:t>
      </w:r>
      <w:bookmarkEnd w:id="56"/>
    </w:p>
    <w:p>
      <w:pPr>
        <w:adjustRightInd w:val="0"/>
        <w:snapToGrid w:val="0"/>
        <w:spacing w:line="312" w:lineRule="auto"/>
        <w:ind w:firstLine="640" w:firstLineChars="200"/>
        <w:rPr>
          <w:rFonts w:hint="eastAsia" w:eastAsia="仿宋_GB2312"/>
          <w:sz w:val="32"/>
          <w:szCs w:val="32"/>
        </w:rPr>
      </w:pPr>
      <w:r>
        <w:rPr>
          <w:rFonts w:hint="eastAsia" w:eastAsia="仿宋_GB2312"/>
          <w:sz w:val="32"/>
          <w:szCs w:val="32"/>
        </w:rPr>
        <w:t>将学生的创新意识培养和创新思维养成融入教育教学全过程，按照高质量创新创业教育的需要调配师资、改革教法、完善实践、因材施教，促进专业教育与创新创业教育有机融合；集聚创新创业教育要素与资源，建设依次递进、有机衔接、科学合理的创新创业教育专门课程（群）；充分利用各种资源建设大学科技园、大学生创业园、创业孵化基地和小微企业创业基地，作为创业教育实践平台；建立健全学生创业指导服务专门机构，做到“机构、人员、场地、经费”四到位，对自主创业学生实行持续帮扶、全程指导、一站式服务；举办全国大学生创新创业大赛，支持举办各类科技创新、创意设计、创业计划等专题竞赛。</w:t>
      </w:r>
    </w:p>
    <w:p>
      <w:pPr>
        <w:adjustRightInd w:val="0"/>
        <w:snapToGrid w:val="0"/>
        <w:spacing w:line="312" w:lineRule="auto"/>
        <w:ind w:firstLine="640" w:firstLineChars="200"/>
        <w:rPr>
          <w:rFonts w:hint="eastAsia" w:eastAsia="仿宋_GB2312"/>
          <w:sz w:val="32"/>
          <w:szCs w:val="32"/>
        </w:rPr>
      </w:pPr>
      <w:r>
        <w:rPr>
          <w:rFonts w:hint="eastAsia" w:eastAsia="仿宋_GB2312"/>
          <w:sz w:val="32"/>
          <w:szCs w:val="32"/>
        </w:rPr>
        <w:t>探索将学生完成的创新实验、论文发表、专利获取、自主创业等成果折算为学分，将学生参与课题研究、项目实验等活动认定为课堂学习；为有意愿有潜质的学生制定创新创业能力培养计划，建立创新创业档案和成绩单，客观记录并量化评价学生开展创新创业活动情况；优先支持参与创新创业的学生转入相关专业学习；实施弹性学制，放宽学生修业年限，允许调整学业进程、保留学籍休学创新创业。</w:t>
      </w:r>
    </w:p>
    <w:p>
      <w:pPr>
        <w:pStyle w:val="4"/>
        <w:snapToGrid w:val="0"/>
        <w:spacing w:before="0" w:after="0" w:line="312" w:lineRule="auto"/>
        <w:ind w:firstLine="643"/>
        <w:rPr>
          <w:rFonts w:ascii="Times New Roman" w:hAnsi="Times New Roman" w:eastAsia="楷体_GB2312"/>
          <w:lang w:eastAsia="zh-CN"/>
        </w:rPr>
      </w:pPr>
      <w:bookmarkStart w:id="57" w:name="_Toc426445171"/>
      <w:r>
        <w:rPr>
          <w:rFonts w:hint="eastAsia" w:ascii="Times New Roman" w:hAnsi="Times New Roman" w:eastAsia="楷体_GB2312"/>
          <w:lang w:eastAsia="zh-CN"/>
        </w:rPr>
        <w:t>5</w:t>
      </w:r>
      <w:r>
        <w:rPr>
          <w:rFonts w:ascii="Times New Roman" w:hAnsi="Times New Roman" w:eastAsia="楷体_GB2312"/>
        </w:rPr>
        <w:t>.</w:t>
      </w:r>
      <w:r>
        <w:rPr>
          <w:rFonts w:hint="eastAsia" w:ascii="Times New Roman" w:hAnsi="Times New Roman" w:eastAsia="楷体_GB2312"/>
          <w:lang w:eastAsia="zh-CN"/>
        </w:rPr>
        <w:t xml:space="preserve"> </w:t>
      </w:r>
      <w:r>
        <w:rPr>
          <w:rFonts w:hint="eastAsia" w:ascii="Times New Roman" w:hAnsi="Times New Roman" w:eastAsia="楷体_GB2312"/>
        </w:rPr>
        <w:t>开展现代学徒制</w:t>
      </w:r>
      <w:r>
        <w:rPr>
          <w:rFonts w:hint="eastAsia" w:ascii="Times New Roman" w:hAnsi="Times New Roman" w:eastAsia="楷体_GB2312"/>
          <w:lang w:eastAsia="zh-CN"/>
        </w:rPr>
        <w:t>培养</w:t>
      </w:r>
      <w:bookmarkEnd w:id="57"/>
    </w:p>
    <w:p>
      <w:pPr>
        <w:adjustRightInd w:val="0"/>
        <w:snapToGrid w:val="0"/>
        <w:spacing w:line="312" w:lineRule="auto"/>
        <w:ind w:firstLine="640" w:firstLineChars="200"/>
        <w:rPr>
          <w:rFonts w:eastAsia="仿宋_GB2312"/>
          <w:sz w:val="32"/>
          <w:szCs w:val="32"/>
        </w:rPr>
      </w:pPr>
      <w:r>
        <w:rPr>
          <w:rFonts w:hint="eastAsia" w:eastAsia="仿宋_GB2312"/>
          <w:sz w:val="32"/>
          <w:szCs w:val="32"/>
        </w:rPr>
        <w:t>支持地方和行业引导、扶持企业与高等职业院校联合开展“现代学徒制”培养试点。校企共同制定和实施人才培养方案，试点学校主要负责理论课程教学、学生日常管理等工作，合作企业主要负责选派工程技术人员（能工巧匠）承担实践教学任务、组织实习实训；校企联合保障学生权益、保证合理报酬，按照国家有关规定落实学生责任保险和工伤保险。地方应允许符合条件的高等职业院校采用单独考试招生的办法从企业员工中招收符合本地高考报名条件的学生，使学生兼具企业员工身份；国家亟需专业经教育部同意可进行跨省招生试点。完善技术兵种与专科高等职业院校联合招收定向培养直招士官的组织方式和支持政策，支持技术兵种全程参与人才培养。</w:t>
      </w:r>
    </w:p>
    <w:p>
      <w:pPr>
        <w:pStyle w:val="4"/>
        <w:snapToGrid w:val="0"/>
        <w:spacing w:before="0" w:after="0" w:line="312" w:lineRule="auto"/>
        <w:ind w:firstLine="643"/>
        <w:rPr>
          <w:rFonts w:ascii="Times New Roman" w:hAnsi="Times New Roman" w:eastAsia="楷体_GB2312"/>
        </w:rPr>
      </w:pPr>
      <w:bookmarkStart w:id="58" w:name="_Toc426445172"/>
      <w:r>
        <w:rPr>
          <w:rFonts w:hint="eastAsia" w:ascii="Times New Roman" w:hAnsi="Times New Roman" w:eastAsia="楷体_GB2312"/>
          <w:lang w:eastAsia="zh-CN"/>
        </w:rPr>
        <w:t>6</w:t>
      </w:r>
      <w:r>
        <w:rPr>
          <w:rFonts w:ascii="Times New Roman" w:hAnsi="Times New Roman" w:eastAsia="楷体_GB2312"/>
        </w:rPr>
        <w:t>.</w:t>
      </w:r>
      <w:r>
        <w:rPr>
          <w:rFonts w:hint="eastAsia" w:ascii="Times New Roman" w:hAnsi="Times New Roman" w:eastAsia="楷体_GB2312"/>
          <w:lang w:eastAsia="zh-CN"/>
        </w:rPr>
        <w:t xml:space="preserve"> </w:t>
      </w:r>
      <w:r>
        <w:rPr>
          <w:rFonts w:hint="eastAsia" w:ascii="Times New Roman" w:hAnsi="Times New Roman" w:eastAsia="楷体_GB2312"/>
        </w:rPr>
        <w:t>培</w:t>
      </w:r>
      <w:r>
        <w:rPr>
          <w:rFonts w:hint="eastAsia" w:ascii="Times New Roman" w:hAnsi="Times New Roman" w:eastAsia="楷体_GB2312"/>
          <w:lang w:eastAsia="zh-CN"/>
        </w:rPr>
        <w:t>育</w:t>
      </w:r>
      <w:r>
        <w:rPr>
          <w:rFonts w:hint="eastAsia" w:ascii="Times New Roman" w:hAnsi="Times New Roman" w:eastAsia="楷体_GB2312"/>
        </w:rPr>
        <w:t>新型职业农民</w:t>
      </w:r>
      <w:bookmarkEnd w:id="58"/>
    </w:p>
    <w:p>
      <w:pPr>
        <w:adjustRightInd w:val="0"/>
        <w:snapToGrid w:val="0"/>
        <w:spacing w:line="312" w:lineRule="auto"/>
        <w:ind w:firstLine="640" w:firstLineChars="200"/>
        <w:rPr>
          <w:rFonts w:eastAsia="仿宋_GB2312"/>
          <w:sz w:val="32"/>
          <w:szCs w:val="32"/>
        </w:rPr>
      </w:pPr>
      <w:r>
        <w:rPr>
          <w:rFonts w:hint="eastAsia" w:eastAsia="仿宋_GB2312"/>
          <w:sz w:val="32"/>
          <w:szCs w:val="32"/>
        </w:rPr>
        <w:t>建立公益性农民培养培训制度，扶持涉农专科高等职业院校的发展和专业建设。提高涉农专科高等职业院校为三农服务的能力，围绕农业产业链和流通链培养适应科技进步和农业产业化需要的学生和新型职业农民，创新招生就业、人才培养、农学结合、校企合作、顶岗实习、社会服务等工作机制，推进农科教统筹、产学研合作；支持高等职业院校与涉农企业共建农业职业教育集团；构建覆盖全国、服务完善的现代职业农民教育网络。推进城乡区域合作，引导各地将项目、资金、设备、人才向涉农专科高等职业院校倾斜，动员相关行业、企业、高等学校、科研院所等参与专业建设，特别加大对农业、水利、林业、粮食和供销等涉农行业职业教育的支持力度。</w:t>
      </w:r>
    </w:p>
    <w:p>
      <w:pPr>
        <w:pStyle w:val="4"/>
        <w:snapToGrid w:val="0"/>
        <w:spacing w:before="0" w:after="0" w:line="312" w:lineRule="auto"/>
        <w:ind w:firstLine="643"/>
        <w:rPr>
          <w:rFonts w:ascii="Times New Roman" w:hAnsi="Times New Roman" w:eastAsia="楷体_GB2312"/>
        </w:rPr>
      </w:pPr>
      <w:bookmarkStart w:id="59" w:name="_Toc426445173"/>
      <w:r>
        <w:rPr>
          <w:rFonts w:hint="eastAsia" w:ascii="Times New Roman" w:hAnsi="Times New Roman" w:eastAsia="楷体_GB2312"/>
          <w:lang w:eastAsia="zh-CN"/>
        </w:rPr>
        <w:t>7</w:t>
      </w:r>
      <w:r>
        <w:rPr>
          <w:rFonts w:ascii="Times New Roman" w:hAnsi="Times New Roman" w:eastAsia="楷体_GB2312"/>
        </w:rPr>
        <w:t>.</w:t>
      </w:r>
      <w:r>
        <w:rPr>
          <w:rFonts w:hint="eastAsia" w:ascii="Times New Roman" w:hAnsi="Times New Roman" w:eastAsia="楷体_GB2312"/>
          <w:lang w:eastAsia="zh-CN"/>
        </w:rPr>
        <w:t xml:space="preserve"> </w:t>
      </w:r>
      <w:r>
        <w:rPr>
          <w:rFonts w:hint="eastAsia" w:ascii="Times New Roman" w:hAnsi="Times New Roman" w:eastAsia="楷体_GB2312"/>
        </w:rPr>
        <w:t>促进文化传承创新与传播</w:t>
      </w:r>
      <w:bookmarkEnd w:id="59"/>
    </w:p>
    <w:p>
      <w:pPr>
        <w:pStyle w:val="6"/>
        <w:snapToGrid w:val="0"/>
        <w:spacing w:line="312" w:lineRule="auto"/>
        <w:ind w:firstLine="640" w:firstLineChars="200"/>
        <w:jc w:val="both"/>
        <w:rPr>
          <w:rFonts w:hint="eastAsia" w:eastAsia="仿宋_GB2312"/>
          <w:sz w:val="32"/>
          <w:szCs w:val="32"/>
          <w:lang w:val="en-US" w:eastAsia="zh-CN"/>
        </w:rPr>
      </w:pPr>
      <w:r>
        <w:rPr>
          <w:rFonts w:hint="eastAsia" w:eastAsia="仿宋_GB2312"/>
          <w:sz w:val="32"/>
          <w:szCs w:val="32"/>
        </w:rPr>
        <w:t>深化文化艺术类职业教育改革，重点培养文化创意人才、基层文化人才，传承创新民族文化</w:t>
      </w:r>
      <w:r>
        <w:rPr>
          <w:rFonts w:hint="eastAsia" w:eastAsia="仿宋_GB2312"/>
          <w:sz w:val="32"/>
          <w:szCs w:val="32"/>
          <w:lang w:eastAsia="zh-CN"/>
        </w:rPr>
        <w:t>与</w:t>
      </w:r>
      <w:r>
        <w:rPr>
          <w:rFonts w:hint="eastAsia" w:eastAsia="仿宋_GB2312"/>
          <w:sz w:val="32"/>
          <w:szCs w:val="32"/>
        </w:rPr>
        <w:t>工艺。加强文化创意、影视制作、出版发行等重点文化产业技术技能人才的培养；依托职业教育体系</w:t>
      </w:r>
      <w:r>
        <w:rPr>
          <w:rFonts w:hint="eastAsia" w:eastAsia="仿宋_GB2312"/>
          <w:sz w:val="32"/>
          <w:szCs w:val="32"/>
          <w:lang w:eastAsia="zh-CN"/>
        </w:rPr>
        <w:t>，</w:t>
      </w:r>
      <w:r>
        <w:rPr>
          <w:rFonts w:hint="eastAsia" w:eastAsia="仿宋_GB2312"/>
          <w:sz w:val="32"/>
          <w:szCs w:val="32"/>
        </w:rPr>
        <w:t>保护、传承和创新民族传统工艺与非物质文化遗产，培养各民族文艺人才。支持高等职业院校加强民族文化和民间技艺相关专业的建设和人才培养。提升</w:t>
      </w:r>
      <w:r>
        <w:rPr>
          <w:rFonts w:hint="eastAsia" w:eastAsia="仿宋_GB2312"/>
          <w:sz w:val="32"/>
          <w:szCs w:val="32"/>
          <w:lang w:eastAsia="zh-CN"/>
        </w:rPr>
        <w:t>民族地区的高等职业院校支持</w:t>
      </w:r>
      <w:r>
        <w:rPr>
          <w:rFonts w:hint="eastAsia" w:eastAsia="仿宋_GB2312"/>
          <w:sz w:val="32"/>
          <w:szCs w:val="32"/>
        </w:rPr>
        <w:t>当地特色优势产业、基本公共服务、社会管理的能力。</w:t>
      </w:r>
    </w:p>
    <w:p>
      <w:pPr>
        <w:pStyle w:val="4"/>
        <w:snapToGrid w:val="0"/>
        <w:spacing w:before="0" w:after="0" w:line="312" w:lineRule="auto"/>
        <w:ind w:firstLine="643"/>
        <w:rPr>
          <w:rFonts w:ascii="Times New Roman" w:hAnsi="Times New Roman" w:eastAsia="楷体_GB2312"/>
          <w:lang w:eastAsia="zh-CN"/>
        </w:rPr>
      </w:pPr>
      <w:bookmarkStart w:id="60" w:name="_Toc426445174"/>
      <w:r>
        <w:rPr>
          <w:rFonts w:hint="eastAsia" w:ascii="Times New Roman" w:hAnsi="Times New Roman" w:eastAsia="楷体_GB2312"/>
          <w:lang w:eastAsia="zh-CN"/>
        </w:rPr>
        <w:t>8</w:t>
      </w:r>
      <w:r>
        <w:rPr>
          <w:rFonts w:ascii="Times New Roman" w:hAnsi="Times New Roman" w:eastAsia="楷体_GB2312"/>
        </w:rPr>
        <w:t>.</w:t>
      </w:r>
      <w:r>
        <w:rPr>
          <w:rFonts w:hint="eastAsia" w:ascii="Times New Roman" w:hAnsi="Times New Roman" w:eastAsia="楷体_GB2312"/>
          <w:lang w:eastAsia="zh-CN"/>
        </w:rPr>
        <w:t xml:space="preserve"> </w:t>
      </w:r>
      <w:r>
        <w:rPr>
          <w:rFonts w:hint="eastAsia" w:ascii="Times New Roman" w:hAnsi="Times New Roman" w:eastAsia="楷体_GB2312"/>
        </w:rPr>
        <w:t>扩大职业教育国际影响</w:t>
      </w:r>
      <w:bookmarkEnd w:id="60"/>
    </w:p>
    <w:p>
      <w:pPr>
        <w:adjustRightInd w:val="0"/>
        <w:snapToGrid w:val="0"/>
        <w:spacing w:line="312" w:lineRule="auto"/>
        <w:ind w:firstLine="640" w:firstLineChars="200"/>
        <w:rPr>
          <w:rFonts w:eastAsia="仿宋_GB2312"/>
          <w:sz w:val="32"/>
          <w:szCs w:val="32"/>
        </w:rPr>
      </w:pPr>
      <w:r>
        <w:rPr>
          <w:rFonts w:hint="eastAsia" w:eastAsia="仿宋_GB2312"/>
          <w:sz w:val="32"/>
          <w:szCs w:val="32"/>
        </w:rPr>
        <w:t>广泛参与国际职业教育合作与发展。加强与职业教育发达国家的政策对话，探索对发展中国家开展职业教育援助的渠道和政策。积极参与职业教育国际标准与规则的研究制定，开发与之对应的专业标准和课程体系，扩大国际话语权、增强国家软实力。提高高等职业院校专业教师的外语交流能力，鼓励示范性和沿边地区高等职业院校利用学校品牌和专业优势吸引境外学生来华学习，并不断扩大规模；支持专科高等职业院校到国（境）外办学，为周边国家培养熟悉中华传统文化、当地经济发展亟需的技术技能人才。推进全国职业院校技能大赛国际化。</w:t>
      </w:r>
    </w:p>
    <w:p>
      <w:pPr>
        <w:pStyle w:val="3"/>
        <w:snapToGrid w:val="0"/>
        <w:spacing w:before="0" w:after="0" w:line="312" w:lineRule="auto"/>
        <w:ind w:firstLine="643"/>
        <w:rPr>
          <w:rFonts w:hint="eastAsia" w:ascii="黑体" w:eastAsia="黑体"/>
          <w:b/>
          <w:lang w:eastAsia="zh-CN"/>
        </w:rPr>
      </w:pPr>
      <w:bookmarkStart w:id="61" w:name="_Toc426445175"/>
      <w:r>
        <w:rPr>
          <w:rFonts w:hint="eastAsia" w:ascii="黑体" w:eastAsia="黑体"/>
          <w:b/>
        </w:rPr>
        <w:t>（四）完善质量保</w:t>
      </w:r>
      <w:r>
        <w:rPr>
          <w:rFonts w:hint="eastAsia" w:ascii="黑体" w:eastAsia="黑体"/>
          <w:b/>
          <w:lang w:eastAsia="zh-CN"/>
        </w:rPr>
        <w:t>障</w:t>
      </w:r>
      <w:r>
        <w:rPr>
          <w:rFonts w:hint="eastAsia" w:ascii="黑体" w:eastAsia="黑体"/>
          <w:b/>
        </w:rPr>
        <w:t>机制</w:t>
      </w:r>
      <w:bookmarkEnd w:id="61"/>
    </w:p>
    <w:p>
      <w:pPr>
        <w:pStyle w:val="6"/>
        <w:snapToGrid w:val="0"/>
        <w:spacing w:line="312" w:lineRule="auto"/>
        <w:ind w:firstLine="640" w:firstLineChars="200"/>
        <w:jc w:val="both"/>
        <w:rPr>
          <w:rFonts w:hint="eastAsia" w:eastAsia="仿宋_GB2312"/>
          <w:sz w:val="32"/>
          <w:szCs w:val="32"/>
        </w:rPr>
      </w:pPr>
      <w:r>
        <w:rPr>
          <w:rFonts w:hint="eastAsia" w:eastAsia="仿宋_GB2312"/>
          <w:sz w:val="32"/>
          <w:szCs w:val="32"/>
        </w:rPr>
        <w:t>落实各级政府责任，放管结合完善依法治校，逐步形成政府依法履职、院校自主保证、社会广泛参与，教育内部保证与教育外部评</w:t>
      </w:r>
      <w:r>
        <w:rPr>
          <w:rFonts w:hint="eastAsia" w:eastAsia="仿宋_GB2312"/>
          <w:sz w:val="32"/>
          <w:szCs w:val="32"/>
          <w:lang w:eastAsia="zh-CN"/>
        </w:rPr>
        <w:t>价</w:t>
      </w:r>
      <w:r>
        <w:rPr>
          <w:rFonts w:hint="eastAsia" w:eastAsia="仿宋_GB2312"/>
          <w:sz w:val="32"/>
          <w:szCs w:val="32"/>
        </w:rPr>
        <w:t>协调配</w:t>
      </w:r>
      <w:r>
        <w:rPr>
          <w:rFonts w:hint="eastAsia" w:eastAsia="仿宋_GB2312"/>
          <w:sz w:val="32"/>
          <w:szCs w:val="32"/>
          <w:lang w:eastAsia="zh-CN"/>
        </w:rPr>
        <w:t>套</w:t>
      </w:r>
      <w:r>
        <w:rPr>
          <w:rFonts w:hint="eastAsia" w:eastAsia="仿宋_GB2312"/>
          <w:sz w:val="32"/>
          <w:szCs w:val="32"/>
        </w:rPr>
        <w:t>的现代职业教育质量保障机制。</w:t>
      </w:r>
    </w:p>
    <w:p>
      <w:pPr>
        <w:pStyle w:val="4"/>
        <w:snapToGrid w:val="0"/>
        <w:spacing w:before="0" w:after="0" w:line="312" w:lineRule="auto"/>
        <w:ind w:firstLine="643"/>
        <w:rPr>
          <w:rFonts w:ascii="Times New Roman" w:hAnsi="Times New Roman" w:eastAsia="楷体_GB2312"/>
        </w:rPr>
      </w:pPr>
      <w:bookmarkStart w:id="62" w:name="_Toc426445176"/>
      <w:r>
        <w:rPr>
          <w:rFonts w:hint="eastAsia" w:ascii="Times New Roman" w:hAnsi="Times New Roman" w:eastAsia="楷体_GB2312"/>
          <w:lang w:eastAsia="zh-CN"/>
        </w:rPr>
        <w:t>1</w:t>
      </w:r>
      <w:r>
        <w:rPr>
          <w:rFonts w:ascii="Times New Roman" w:hAnsi="Times New Roman" w:eastAsia="楷体_GB2312"/>
        </w:rPr>
        <w:t>.</w:t>
      </w:r>
      <w:r>
        <w:rPr>
          <w:rFonts w:hint="eastAsia" w:ascii="Times New Roman" w:hAnsi="Times New Roman" w:eastAsia="楷体_GB2312"/>
          <w:lang w:eastAsia="zh-CN"/>
        </w:rPr>
        <w:t xml:space="preserve"> </w:t>
      </w:r>
      <w:r>
        <w:rPr>
          <w:rFonts w:hint="eastAsia" w:ascii="Times New Roman" w:hAnsi="Times New Roman" w:eastAsia="楷体_GB2312"/>
        </w:rPr>
        <w:t>提高经费保障水平</w:t>
      </w:r>
      <w:bookmarkEnd w:id="62"/>
    </w:p>
    <w:p>
      <w:pPr>
        <w:pStyle w:val="6"/>
        <w:snapToGrid w:val="0"/>
        <w:spacing w:line="312" w:lineRule="auto"/>
        <w:ind w:firstLine="640" w:firstLineChars="200"/>
        <w:jc w:val="both"/>
        <w:rPr>
          <w:rFonts w:hint="eastAsia" w:eastAsia="仿宋_GB2312"/>
          <w:sz w:val="32"/>
          <w:szCs w:val="32"/>
        </w:rPr>
      </w:pPr>
      <w:r>
        <w:rPr>
          <w:rFonts w:hint="eastAsia" w:eastAsia="仿宋_GB2312"/>
          <w:sz w:val="32"/>
          <w:szCs w:val="32"/>
        </w:rPr>
        <w:t>落实生均拨款政策，建立多渠道筹资机制，提高经费保障水平。</w:t>
      </w:r>
      <w:r>
        <w:rPr>
          <w:rFonts w:hint="eastAsia" w:eastAsia="仿宋_GB2312"/>
          <w:sz w:val="32"/>
          <w:szCs w:val="32"/>
          <w:lang w:eastAsia="zh-CN"/>
        </w:rPr>
        <w:t>各地应</w:t>
      </w:r>
      <w:r>
        <w:rPr>
          <w:rFonts w:hint="eastAsia" w:eastAsia="仿宋_GB2312"/>
          <w:sz w:val="32"/>
          <w:szCs w:val="32"/>
        </w:rPr>
        <w:t>引导激励行政区域内各地市</w:t>
      </w:r>
      <w:r>
        <w:rPr>
          <w:rFonts w:hint="eastAsia" w:eastAsia="仿宋_GB2312"/>
          <w:sz w:val="32"/>
          <w:szCs w:val="32"/>
          <w:lang w:eastAsia="zh-CN"/>
        </w:rPr>
        <w:t>级政府</w:t>
      </w:r>
      <w:r>
        <w:rPr>
          <w:rFonts w:hint="eastAsia" w:eastAsia="仿宋_GB2312"/>
          <w:sz w:val="32"/>
          <w:szCs w:val="32"/>
        </w:rPr>
        <w:t>（单位）建立完善以改革和绩效为导向的专科高等职业院校生均拨款制度，</w:t>
      </w:r>
      <w:r>
        <w:rPr>
          <w:rFonts w:hint="eastAsia" w:eastAsia="仿宋_GB2312"/>
          <w:sz w:val="32"/>
          <w:szCs w:val="32"/>
          <w:lang w:eastAsia="zh-CN"/>
        </w:rPr>
        <w:t>保证</w:t>
      </w:r>
      <w:r>
        <w:rPr>
          <w:rFonts w:hint="eastAsia" w:eastAsia="仿宋_GB2312"/>
          <w:sz w:val="32"/>
          <w:szCs w:val="32"/>
        </w:rPr>
        <w:t>学校正常运转、保障基本教学条件、提升内涵建设水平、支撑</w:t>
      </w:r>
      <w:r>
        <w:rPr>
          <w:rFonts w:hint="eastAsia" w:eastAsia="仿宋_GB2312"/>
          <w:sz w:val="32"/>
          <w:szCs w:val="32"/>
          <w:lang w:eastAsia="zh-CN"/>
        </w:rPr>
        <w:t>院校综合改革</w:t>
      </w:r>
      <w:r>
        <w:rPr>
          <w:rFonts w:hint="eastAsia" w:eastAsia="仿宋_GB2312"/>
          <w:sz w:val="32"/>
          <w:szCs w:val="32"/>
        </w:rPr>
        <w:t>。生均拨款制度应当覆盖本地区所有独立设置的公办高等职业院校；举办高等职业院校的有关部门和单位，应当参照院校所在地公办高等职业院校的生均拨款标准，建立完善所属高等职业院校生均拨款制度。</w:t>
      </w:r>
      <w:r>
        <w:rPr>
          <w:rFonts w:eastAsia="仿宋_GB2312"/>
          <w:sz w:val="32"/>
          <w:szCs w:val="32"/>
        </w:rPr>
        <w:t>2017</w:t>
      </w:r>
      <w:r>
        <w:rPr>
          <w:rFonts w:hint="eastAsia" w:eastAsia="仿宋_GB2312"/>
          <w:sz w:val="32"/>
          <w:szCs w:val="32"/>
        </w:rPr>
        <w:t>年，</w:t>
      </w:r>
      <w:r>
        <w:rPr>
          <w:rFonts w:hint="eastAsia" w:eastAsia="仿宋_GB2312"/>
          <w:sz w:val="32"/>
          <w:szCs w:val="32"/>
          <w:lang w:eastAsia="zh-CN"/>
        </w:rPr>
        <w:t>本省</w:t>
      </w:r>
      <w:r>
        <w:rPr>
          <w:rFonts w:hint="eastAsia" w:eastAsia="仿宋_GB2312"/>
          <w:sz w:val="32"/>
          <w:szCs w:val="32"/>
        </w:rPr>
        <w:t>专科高等职业院校年生均财政拨款</w:t>
      </w:r>
      <w:r>
        <w:rPr>
          <w:rFonts w:hint="eastAsia" w:eastAsia="仿宋_GB2312"/>
          <w:sz w:val="32"/>
          <w:szCs w:val="32"/>
          <w:lang w:eastAsia="zh-CN"/>
        </w:rPr>
        <w:t>平均</w:t>
      </w:r>
      <w:r>
        <w:rPr>
          <w:rFonts w:hint="eastAsia" w:eastAsia="仿宋_GB2312"/>
          <w:sz w:val="32"/>
          <w:szCs w:val="32"/>
        </w:rPr>
        <w:t>水平不低于</w:t>
      </w:r>
      <w:r>
        <w:rPr>
          <w:rFonts w:eastAsia="仿宋_GB2312"/>
          <w:sz w:val="32"/>
          <w:szCs w:val="32"/>
        </w:rPr>
        <w:t>12000</w:t>
      </w:r>
      <w:r>
        <w:rPr>
          <w:rFonts w:hint="eastAsia" w:eastAsia="仿宋_GB2312"/>
          <w:sz w:val="32"/>
          <w:szCs w:val="32"/>
        </w:rPr>
        <w:t>元。学费收入优先保证学校基本教学方面的支出。</w:t>
      </w:r>
    </w:p>
    <w:p>
      <w:pPr>
        <w:pStyle w:val="4"/>
        <w:snapToGrid w:val="0"/>
        <w:spacing w:before="0" w:after="0" w:line="312" w:lineRule="auto"/>
        <w:ind w:firstLine="643"/>
        <w:rPr>
          <w:rFonts w:ascii="Times New Roman" w:hAnsi="Times New Roman" w:eastAsia="楷体_GB2312"/>
        </w:rPr>
      </w:pPr>
      <w:bookmarkStart w:id="63" w:name="_Toc426445177"/>
      <w:r>
        <w:rPr>
          <w:rFonts w:hint="eastAsia" w:ascii="Times New Roman" w:hAnsi="Times New Roman" w:eastAsia="楷体_GB2312"/>
          <w:lang w:eastAsia="zh-CN"/>
        </w:rPr>
        <w:t>2</w:t>
      </w:r>
      <w:r>
        <w:rPr>
          <w:rFonts w:ascii="Times New Roman" w:hAnsi="Times New Roman" w:eastAsia="楷体_GB2312"/>
        </w:rPr>
        <w:t>.</w:t>
      </w:r>
      <w:r>
        <w:rPr>
          <w:rFonts w:hint="eastAsia" w:ascii="Times New Roman" w:hAnsi="Times New Roman" w:eastAsia="楷体_GB2312"/>
          <w:lang w:eastAsia="zh-CN"/>
        </w:rPr>
        <w:t xml:space="preserve"> </w:t>
      </w:r>
      <w:r>
        <w:rPr>
          <w:rFonts w:hint="eastAsia" w:ascii="Times New Roman" w:hAnsi="Times New Roman" w:eastAsia="楷体_GB2312"/>
        </w:rPr>
        <w:t>完善院校治理结构</w:t>
      </w:r>
      <w:bookmarkEnd w:id="63"/>
    </w:p>
    <w:p>
      <w:pPr>
        <w:adjustRightInd w:val="0"/>
        <w:snapToGrid w:val="0"/>
        <w:spacing w:line="312" w:lineRule="auto"/>
        <w:ind w:firstLine="640" w:firstLineChars="200"/>
        <w:rPr>
          <w:rFonts w:eastAsia="仿宋_GB2312"/>
          <w:sz w:val="32"/>
          <w:szCs w:val="32"/>
        </w:rPr>
      </w:pPr>
      <w:r>
        <w:rPr>
          <w:rFonts w:hint="eastAsia" w:eastAsia="仿宋_GB2312"/>
          <w:sz w:val="32"/>
          <w:szCs w:val="32"/>
        </w:rPr>
        <w:t>落实《高等学校章程制定暂行办法》，</w:t>
      </w:r>
      <w:r>
        <w:rPr>
          <w:rFonts w:hint="eastAsia" w:eastAsia="仿宋_GB2312"/>
          <w:sz w:val="32"/>
          <w:szCs w:val="32"/>
          <w:lang w:val="zh-CN" w:eastAsia="zh-CN"/>
        </w:rPr>
        <w:t>建立健全</w:t>
      </w:r>
      <w:r>
        <w:rPr>
          <w:rFonts w:hint="eastAsia" w:eastAsia="仿宋_GB2312"/>
          <w:sz w:val="32"/>
          <w:szCs w:val="32"/>
          <w:lang w:val="zh-CN"/>
        </w:rPr>
        <w:t>依法</w:t>
      </w:r>
      <w:r>
        <w:rPr>
          <w:rFonts w:hint="eastAsia" w:eastAsia="仿宋_GB2312"/>
          <w:sz w:val="32"/>
          <w:szCs w:val="32"/>
          <w:lang w:val="zh-CN" w:eastAsia="zh-CN"/>
        </w:rPr>
        <w:t>自主管理、民主监督、社会参与的高等职业院校治理结构。完成高等职业院校章程制定、修订工作。坚持和完善公办高等职业院校党委领导下的校长负责制，提升学校的资源整合、科学决策和战略规划能力，开展校长公开选拔</w:t>
      </w:r>
      <w:r>
        <w:rPr>
          <w:rFonts w:hint="eastAsia" w:eastAsia="仿宋_GB2312"/>
          <w:sz w:val="32"/>
          <w:szCs w:val="32"/>
        </w:rPr>
        <w:t>聘任试点。推动高等职业院校设立有办学相关方代表参加的理事会或董事会机构，发挥咨询、协商、审议与监督作用。设立校级学术委员会，作为校内最高学术机构，统筹行使学术事务的决策、审议、评定和咨询等职权，发挥在专业建设、学术评价、学术发展和学风建设等事项上的重要作用。结合实际需要，根据条件设立校级专业指导委员会，指导促进专业建设与教学改革。加强风险安全制度建设。</w:t>
      </w:r>
    </w:p>
    <w:p>
      <w:pPr>
        <w:pStyle w:val="4"/>
        <w:snapToGrid w:val="0"/>
        <w:spacing w:before="0" w:after="0" w:line="312" w:lineRule="auto"/>
        <w:ind w:firstLine="643"/>
        <w:rPr>
          <w:rFonts w:ascii="Times New Roman" w:hAnsi="Times New Roman" w:eastAsia="楷体_GB2312"/>
        </w:rPr>
      </w:pPr>
      <w:bookmarkStart w:id="64" w:name="_Toc426445178"/>
      <w:r>
        <w:rPr>
          <w:rFonts w:hint="eastAsia" w:ascii="Times New Roman" w:hAnsi="Times New Roman" w:eastAsia="楷体_GB2312"/>
          <w:lang w:eastAsia="zh-CN"/>
        </w:rPr>
        <w:t>3</w:t>
      </w:r>
      <w:r>
        <w:rPr>
          <w:rFonts w:ascii="Times New Roman" w:hAnsi="Times New Roman" w:eastAsia="楷体_GB2312"/>
        </w:rPr>
        <w:t>.</w:t>
      </w:r>
      <w:r>
        <w:rPr>
          <w:rFonts w:hint="eastAsia" w:ascii="Times New Roman" w:hAnsi="Times New Roman" w:eastAsia="楷体_GB2312"/>
          <w:lang w:eastAsia="zh-CN"/>
        </w:rPr>
        <w:t xml:space="preserve"> </w:t>
      </w:r>
      <w:r>
        <w:rPr>
          <w:rFonts w:hint="eastAsia" w:ascii="Times New Roman" w:hAnsi="Times New Roman" w:eastAsia="楷体_GB2312"/>
        </w:rPr>
        <w:t>完善质量年报制度</w:t>
      </w:r>
      <w:bookmarkEnd w:id="64"/>
    </w:p>
    <w:p>
      <w:pPr>
        <w:pStyle w:val="6"/>
        <w:snapToGrid w:val="0"/>
        <w:spacing w:line="312" w:lineRule="auto"/>
        <w:ind w:firstLine="640" w:firstLineChars="200"/>
        <w:jc w:val="both"/>
        <w:rPr>
          <w:rFonts w:hint="eastAsia" w:eastAsia="仿宋_GB2312"/>
          <w:sz w:val="32"/>
          <w:szCs w:val="32"/>
        </w:rPr>
      </w:pPr>
      <w:r>
        <w:rPr>
          <w:rFonts w:hint="eastAsia" w:eastAsia="仿宋_GB2312"/>
          <w:sz w:val="32"/>
          <w:szCs w:val="32"/>
        </w:rPr>
        <w:t>巩固学校、省和国家三级高等职业教育质量年度报告制度，进一步提高年度质量报告的量化程度、可比性和可读性。专科高等职业院校和省级教育行政部门每年发布质量报告；支持第三方撰写发布国家高等职业教育质量年度报告；强化对报告发布情况和撰写质量的监督管理。稳步推进高等职业院校人才培养工作状态数据管理系统的建设、部署与应用，逐步加强状态数据在宏观管理、行政决策、院校治理、教学改革、年度报告中的基础性作用。</w:t>
      </w:r>
    </w:p>
    <w:p>
      <w:pPr>
        <w:pStyle w:val="4"/>
        <w:snapToGrid w:val="0"/>
        <w:spacing w:before="0" w:after="0" w:line="312" w:lineRule="auto"/>
        <w:ind w:firstLine="643"/>
        <w:rPr>
          <w:rFonts w:ascii="Times New Roman" w:hAnsi="Times New Roman" w:eastAsia="楷体_GB2312"/>
          <w:lang w:eastAsia="zh-CN"/>
        </w:rPr>
      </w:pPr>
      <w:bookmarkStart w:id="65" w:name="_Toc426445179"/>
      <w:r>
        <w:rPr>
          <w:rFonts w:hint="eastAsia" w:ascii="Times New Roman" w:hAnsi="Times New Roman" w:eastAsia="楷体_GB2312"/>
          <w:lang w:eastAsia="zh-CN"/>
        </w:rPr>
        <w:t>4</w:t>
      </w:r>
      <w:r>
        <w:rPr>
          <w:rFonts w:ascii="Times New Roman" w:hAnsi="Times New Roman" w:eastAsia="楷体_GB2312"/>
          <w:lang w:eastAsia="zh-CN"/>
        </w:rPr>
        <w:t>.</w:t>
      </w:r>
      <w:r>
        <w:rPr>
          <w:rFonts w:hint="eastAsia" w:ascii="Times New Roman" w:hAnsi="Times New Roman" w:eastAsia="楷体_GB2312"/>
          <w:lang w:eastAsia="zh-CN"/>
        </w:rPr>
        <w:t xml:space="preserve"> 建立诊断改进机制</w:t>
      </w:r>
      <w:bookmarkEnd w:id="65"/>
    </w:p>
    <w:p>
      <w:pPr>
        <w:adjustRightInd w:val="0"/>
        <w:snapToGrid w:val="0"/>
        <w:spacing w:line="312" w:lineRule="auto"/>
        <w:ind w:firstLine="640" w:firstLineChars="200"/>
        <w:rPr>
          <w:rFonts w:eastAsia="仿宋_GB2312"/>
          <w:sz w:val="32"/>
          <w:szCs w:val="32"/>
          <w:lang w:val="zh-CN" w:eastAsia="zh-CN"/>
        </w:rPr>
      </w:pPr>
      <w:r>
        <w:rPr>
          <w:rFonts w:hint="eastAsia" w:eastAsia="仿宋_GB2312"/>
          <w:sz w:val="32"/>
          <w:szCs w:val="32"/>
          <w:lang w:val="zh-CN" w:eastAsia="zh-CN"/>
        </w:rPr>
        <w:t>以高等职业院校人才培养工作状态数据</w:t>
      </w:r>
      <w:r>
        <w:rPr>
          <w:rFonts w:hint="eastAsia" w:eastAsia="仿宋_GB2312"/>
          <w:sz w:val="32"/>
          <w:szCs w:val="32"/>
          <w:lang w:val="zh-CN"/>
        </w:rPr>
        <w:t>为</w:t>
      </w:r>
      <w:r>
        <w:rPr>
          <w:rFonts w:hint="eastAsia" w:eastAsia="仿宋_GB2312"/>
          <w:sz w:val="32"/>
          <w:szCs w:val="32"/>
          <w:lang w:val="zh-CN" w:eastAsia="zh-CN"/>
        </w:rPr>
        <w:t>基础，开展教学诊断和改进（以下简称诊改）工作。加强分类指导，保证新建高等职业院校基本办学质量，推动高等职业院校全面建立完善内部质量保证体系，支持优</w:t>
      </w:r>
      <w:r>
        <w:rPr>
          <w:rFonts w:hint="eastAsia" w:eastAsia="仿宋_GB2312"/>
          <w:sz w:val="32"/>
          <w:szCs w:val="32"/>
          <w:lang w:val="zh-CN"/>
        </w:rPr>
        <w:t>质</w:t>
      </w:r>
      <w:r>
        <w:rPr>
          <w:rFonts w:hint="eastAsia" w:eastAsia="仿宋_GB2312"/>
          <w:sz w:val="32"/>
          <w:szCs w:val="32"/>
          <w:lang w:val="zh-CN" w:eastAsia="zh-CN"/>
        </w:rPr>
        <w:t>高等职业院校实现更高水平发展。教育部牵头研制高等职业院校教学工作诊改指导方案，针对高等职业院校不同发展阶段特点确定诊改重点，供地方和院校参照施行；省级教育行政部门负责统筹推进</w:t>
      </w:r>
      <w:r>
        <w:rPr>
          <w:rFonts w:hint="eastAsia" w:eastAsia="仿宋_GB2312"/>
          <w:sz w:val="32"/>
          <w:szCs w:val="32"/>
        </w:rPr>
        <w:t>行政区</w:t>
      </w:r>
      <w:r>
        <w:rPr>
          <w:rFonts w:hint="eastAsia" w:eastAsia="仿宋_GB2312"/>
          <w:sz w:val="32"/>
          <w:szCs w:val="32"/>
          <w:lang w:val="zh-CN" w:eastAsia="zh-CN"/>
        </w:rPr>
        <w:t>域内高等职业院校诊改工作</w:t>
      </w:r>
      <w:r>
        <w:rPr>
          <w:rFonts w:hint="eastAsia" w:eastAsia="仿宋_GB2312"/>
          <w:sz w:val="32"/>
          <w:szCs w:val="32"/>
          <w:lang w:val="zh-CN"/>
        </w:rPr>
        <w:t>，根据需要</w:t>
      </w:r>
      <w:r>
        <w:rPr>
          <w:rFonts w:hint="eastAsia" w:eastAsia="仿宋_GB2312"/>
          <w:sz w:val="32"/>
          <w:szCs w:val="32"/>
          <w:lang w:val="zh-CN" w:eastAsia="zh-CN"/>
        </w:rPr>
        <w:t>抽样复核诊改</w:t>
      </w:r>
      <w:r>
        <w:rPr>
          <w:rFonts w:hint="eastAsia" w:eastAsia="仿宋_GB2312"/>
          <w:sz w:val="32"/>
          <w:szCs w:val="32"/>
          <w:lang w:val="zh-CN"/>
        </w:rPr>
        <w:t>工作</w:t>
      </w:r>
      <w:r>
        <w:rPr>
          <w:rFonts w:hint="eastAsia" w:eastAsia="仿宋_GB2312"/>
          <w:sz w:val="32"/>
          <w:szCs w:val="32"/>
          <w:lang w:val="zh-CN" w:eastAsia="zh-CN"/>
        </w:rPr>
        <w:t>质量；院校举办方协同高等职业院校自主诊断、切实改进。</w:t>
      </w:r>
    </w:p>
    <w:p>
      <w:pPr>
        <w:adjustRightInd w:val="0"/>
        <w:snapToGrid w:val="0"/>
        <w:spacing w:line="312" w:lineRule="auto"/>
        <w:ind w:firstLine="640" w:firstLineChars="200"/>
        <w:rPr>
          <w:rFonts w:eastAsia="仿宋_GB2312"/>
          <w:sz w:val="32"/>
          <w:szCs w:val="32"/>
          <w:lang w:val="zh-CN" w:eastAsia="zh-CN"/>
        </w:rPr>
      </w:pPr>
      <w:r>
        <w:rPr>
          <w:rFonts w:hint="eastAsia" w:eastAsia="仿宋_GB2312"/>
          <w:sz w:val="32"/>
          <w:szCs w:val="32"/>
          <w:lang w:val="zh-CN" w:eastAsia="zh-CN"/>
        </w:rPr>
        <w:t>支持对用人单位影响力大的行业组织开展专业层面的教学诊改试点，以行业企业用人标准为依据，通过结果评价、结论排名、建议反馈的形式，倒逼职业院校的专业改革与建设，职业院校自愿参加。专业诊改方案由相关行业制订</w:t>
      </w:r>
      <w:r>
        <w:rPr>
          <w:rFonts w:hint="eastAsia" w:eastAsia="仿宋_GB2312"/>
          <w:sz w:val="32"/>
          <w:szCs w:val="32"/>
          <w:lang w:val="zh-CN"/>
        </w:rPr>
        <w:t>、</w:t>
      </w:r>
      <w:r>
        <w:rPr>
          <w:rFonts w:hint="eastAsia" w:eastAsia="仿宋_GB2312"/>
          <w:sz w:val="32"/>
          <w:szCs w:val="32"/>
          <w:lang w:val="zh-CN" w:eastAsia="zh-CN"/>
        </w:rPr>
        <w:t>教育部认可后实施。</w:t>
      </w:r>
    </w:p>
    <w:p>
      <w:pPr>
        <w:pStyle w:val="4"/>
        <w:snapToGrid w:val="0"/>
        <w:spacing w:before="0" w:after="0" w:line="312" w:lineRule="auto"/>
        <w:ind w:firstLine="643"/>
        <w:rPr>
          <w:rFonts w:ascii="Times New Roman" w:hAnsi="Times New Roman" w:eastAsia="楷体_GB2312"/>
          <w:lang w:eastAsia="zh-CN"/>
        </w:rPr>
      </w:pPr>
      <w:bookmarkStart w:id="66" w:name="_Toc426445180"/>
      <w:r>
        <w:rPr>
          <w:rFonts w:hint="eastAsia" w:ascii="Times New Roman" w:hAnsi="Times New Roman" w:eastAsia="楷体_GB2312"/>
          <w:lang w:eastAsia="zh-CN"/>
        </w:rPr>
        <w:t>5</w:t>
      </w:r>
      <w:r>
        <w:rPr>
          <w:rFonts w:ascii="Times New Roman" w:hAnsi="Times New Roman" w:eastAsia="楷体_GB2312"/>
        </w:rPr>
        <w:t>.</w:t>
      </w:r>
      <w:r>
        <w:rPr>
          <w:rFonts w:hint="eastAsia" w:ascii="Times New Roman" w:hAnsi="Times New Roman" w:eastAsia="楷体_GB2312"/>
          <w:lang w:eastAsia="zh-CN"/>
        </w:rPr>
        <w:t xml:space="preserve"> 改进高职</w:t>
      </w:r>
      <w:r>
        <w:rPr>
          <w:rFonts w:hint="eastAsia" w:ascii="Times New Roman" w:hAnsi="Times New Roman" w:eastAsia="楷体_GB2312"/>
        </w:rPr>
        <w:t>教师</w:t>
      </w:r>
      <w:r>
        <w:rPr>
          <w:rFonts w:hint="eastAsia" w:ascii="Times New Roman" w:hAnsi="Times New Roman" w:eastAsia="楷体_GB2312"/>
          <w:lang w:eastAsia="zh-CN"/>
        </w:rPr>
        <w:t>管理</w:t>
      </w:r>
      <w:bookmarkEnd w:id="66"/>
    </w:p>
    <w:p>
      <w:pPr>
        <w:adjustRightInd w:val="0"/>
        <w:snapToGrid w:val="0"/>
        <w:spacing w:line="312" w:lineRule="auto"/>
        <w:ind w:firstLine="640" w:firstLineChars="200"/>
        <w:rPr>
          <w:rFonts w:eastAsia="仿宋_GB2312"/>
          <w:sz w:val="32"/>
          <w:szCs w:val="32"/>
        </w:rPr>
      </w:pPr>
      <w:r>
        <w:rPr>
          <w:rFonts w:hint="eastAsia" w:eastAsia="仿宋_GB2312"/>
          <w:sz w:val="32"/>
          <w:szCs w:val="32"/>
          <w:lang w:val="zh-CN" w:eastAsia="zh-CN"/>
        </w:rPr>
        <w:t>完善教师专业技术职务（职称）评聘办法，将师德表现、教学水平、应用技术研发成果与社会服务成效等作为高等职业院校教师专业技术职务（职称）评聘和工作绩效考核的重要内容，有条件的地方可以实行单独评审。鼓励高等职业院校制定和执行反映自身发展水平的“双师型”教师标准（不低于2008年《高等职业院校人才培养工作评估方案》规定的标准）。根据职业教育特点、比照本科高等学校核定公办专科高等职业院校教职工编制；</w:t>
      </w:r>
      <w:r>
        <w:rPr>
          <w:rFonts w:hint="eastAsia" w:eastAsia="仿宋_GB2312"/>
          <w:sz w:val="32"/>
          <w:szCs w:val="32"/>
          <w:lang w:val="zh-CN"/>
        </w:rPr>
        <w:t>新增</w:t>
      </w:r>
      <w:r>
        <w:rPr>
          <w:rFonts w:hint="eastAsia" w:eastAsia="仿宋_GB2312"/>
          <w:sz w:val="32"/>
          <w:szCs w:val="32"/>
          <w:lang w:val="zh-CN" w:eastAsia="zh-CN"/>
        </w:rPr>
        <w:t>教师编制</w:t>
      </w:r>
      <w:r>
        <w:rPr>
          <w:rFonts w:hint="eastAsia" w:eastAsia="仿宋_GB2312"/>
          <w:sz w:val="32"/>
          <w:szCs w:val="32"/>
          <w:lang w:val="zh-CN"/>
        </w:rPr>
        <w:t>主要用于引进</w:t>
      </w:r>
      <w:r>
        <w:rPr>
          <w:rFonts w:hint="eastAsia" w:eastAsia="仿宋_GB2312"/>
          <w:sz w:val="32"/>
          <w:szCs w:val="32"/>
          <w:lang w:val="zh-CN" w:eastAsia="zh-CN"/>
        </w:rPr>
        <w:t>具有实践经验的专业教师。推动教师分类管理、分类评价的人事管理制度改革；全面推行按岗聘用、竞聘上岗；制订体现高等职业教育特点的教师绩效评价标准，绩效工资内部分配向“双师型”教师适当倾斜。原</w:t>
      </w:r>
      <w:r>
        <w:rPr>
          <w:rFonts w:hint="eastAsia" w:eastAsia="仿宋_GB2312"/>
          <w:sz w:val="32"/>
          <w:szCs w:val="32"/>
        </w:rPr>
        <w:t>则上</w:t>
      </w:r>
      <w:r>
        <w:rPr>
          <w:rFonts w:eastAsia="仿宋_GB2312"/>
          <w:sz w:val="32"/>
          <w:szCs w:val="32"/>
        </w:rPr>
        <w:t>55</w:t>
      </w:r>
      <w:r>
        <w:rPr>
          <w:rFonts w:hint="eastAsia" w:eastAsia="仿宋_GB2312"/>
          <w:sz w:val="32"/>
          <w:szCs w:val="32"/>
        </w:rPr>
        <w:t>岁以下的教授、副教授每学期至少讲授一门课程。</w:t>
      </w:r>
    </w:p>
    <w:p>
      <w:pPr>
        <w:pStyle w:val="4"/>
        <w:snapToGrid w:val="0"/>
        <w:spacing w:before="0" w:after="0" w:line="312" w:lineRule="auto"/>
        <w:ind w:firstLine="643"/>
        <w:rPr>
          <w:rFonts w:ascii="Times New Roman" w:hAnsi="Times New Roman" w:eastAsia="楷体_GB2312"/>
        </w:rPr>
      </w:pPr>
      <w:bookmarkStart w:id="67" w:name="_Toc426445181"/>
      <w:r>
        <w:rPr>
          <w:rFonts w:hint="eastAsia" w:ascii="Times New Roman" w:hAnsi="Times New Roman" w:eastAsia="楷体_GB2312"/>
          <w:lang w:eastAsia="zh-CN"/>
        </w:rPr>
        <w:t>6</w:t>
      </w:r>
      <w:r>
        <w:rPr>
          <w:rFonts w:ascii="Times New Roman" w:hAnsi="Times New Roman" w:eastAsia="楷体_GB2312"/>
        </w:rPr>
        <w:t>.</w:t>
      </w:r>
      <w:r>
        <w:rPr>
          <w:rFonts w:hint="eastAsia" w:ascii="Times New Roman" w:hAnsi="Times New Roman" w:eastAsia="楷体_GB2312"/>
          <w:lang w:eastAsia="zh-CN"/>
        </w:rPr>
        <w:t xml:space="preserve"> </w:t>
      </w:r>
      <w:r>
        <w:rPr>
          <w:rFonts w:hint="eastAsia" w:ascii="Times New Roman" w:hAnsi="Times New Roman" w:eastAsia="楷体_GB2312"/>
        </w:rPr>
        <w:t>加强相关理论研究</w:t>
      </w:r>
      <w:bookmarkEnd w:id="67"/>
    </w:p>
    <w:p>
      <w:pPr>
        <w:adjustRightInd w:val="0"/>
        <w:snapToGrid w:val="0"/>
        <w:spacing w:line="312" w:lineRule="auto"/>
        <w:ind w:firstLine="640" w:firstLineChars="200"/>
        <w:rPr>
          <w:rFonts w:hint="eastAsia" w:eastAsia="仿宋_GB2312"/>
          <w:sz w:val="32"/>
          <w:szCs w:val="32"/>
        </w:rPr>
      </w:pPr>
      <w:r>
        <w:rPr>
          <w:rFonts w:hint="eastAsia" w:eastAsia="仿宋_GB2312"/>
          <w:sz w:val="32"/>
          <w:szCs w:val="32"/>
          <w:lang w:val="zh-CN" w:eastAsia="zh-CN"/>
        </w:rPr>
        <w:t>加强国家级、省级、市（地）级职业教育科研机构建设，加强高等职业教育改革发展的宏观政策研究，开展指导教育教学改革和相关标准建设的理论研究。各地应统筹高等职业教育研究工作，加强高等职业教育研究机构和队伍建设，加大投入支持相关研究工作。鼓励有条件的高等职业院校建立专门教育研究机构，发挥学校人才、信息、资源聚集</w:t>
      </w:r>
      <w:r>
        <w:rPr>
          <w:rFonts w:hint="eastAsia" w:eastAsia="仿宋_GB2312"/>
          <w:sz w:val="32"/>
          <w:szCs w:val="32"/>
        </w:rPr>
        <w:t>的优势，引导广大教师围绕专业建设、课程改革、实践教学、终身学习等方面开展教学研究。</w:t>
      </w:r>
    </w:p>
    <w:p>
      <w:pPr>
        <w:pStyle w:val="3"/>
        <w:snapToGrid w:val="0"/>
        <w:spacing w:before="0" w:after="0" w:line="312" w:lineRule="auto"/>
        <w:ind w:firstLine="643"/>
        <w:rPr>
          <w:rFonts w:ascii="Times New Roman" w:hAnsi="Times New Roman" w:eastAsia="黑体"/>
          <w:b/>
          <w:lang w:eastAsia="zh-CN"/>
        </w:rPr>
      </w:pPr>
      <w:bookmarkStart w:id="68" w:name="_Toc426445182"/>
      <w:r>
        <w:rPr>
          <w:rFonts w:hint="eastAsia" w:ascii="黑体" w:eastAsia="黑体"/>
          <w:b/>
        </w:rPr>
        <w:t>（</w:t>
      </w:r>
      <w:bookmarkStart w:id="69" w:name="_Toc409764075"/>
      <w:r>
        <w:rPr>
          <w:rFonts w:hint="eastAsia" w:ascii="Times New Roman" w:hAnsi="Times New Roman" w:eastAsia="黑体"/>
          <w:b/>
          <w:lang w:eastAsia="zh-CN"/>
        </w:rPr>
        <w:t>五</w:t>
      </w:r>
      <w:r>
        <w:rPr>
          <w:rFonts w:hint="eastAsia" w:ascii="Times New Roman" w:hAnsi="Times New Roman" w:eastAsia="黑体"/>
          <w:b/>
        </w:rPr>
        <w:t>）</w:t>
      </w:r>
      <w:bookmarkEnd w:id="69"/>
      <w:r>
        <w:rPr>
          <w:rFonts w:hint="eastAsia" w:ascii="Times New Roman" w:hAnsi="Times New Roman" w:eastAsia="黑体"/>
          <w:b/>
        </w:rPr>
        <w:t>提升思想政治教育质量</w:t>
      </w:r>
      <w:bookmarkEnd w:id="68"/>
    </w:p>
    <w:p>
      <w:pPr>
        <w:adjustRightInd w:val="0"/>
        <w:snapToGrid w:val="0"/>
        <w:spacing w:line="312" w:lineRule="auto"/>
        <w:ind w:firstLine="640" w:firstLineChars="200"/>
        <w:rPr>
          <w:rFonts w:eastAsia="仿宋_GB2312"/>
          <w:sz w:val="32"/>
          <w:szCs w:val="32"/>
        </w:rPr>
      </w:pPr>
      <w:r>
        <w:rPr>
          <w:rFonts w:hint="eastAsia" w:eastAsia="仿宋_GB2312"/>
          <w:sz w:val="32"/>
          <w:szCs w:val="32"/>
        </w:rPr>
        <w:t>加强以职业道德培养和职业素质养成为特点的高等职业教育学生思想政治教育工作，着力培养既掌握熟练技术，又坚守职业精神的技术技能人才。</w:t>
      </w:r>
    </w:p>
    <w:p>
      <w:pPr>
        <w:pStyle w:val="4"/>
        <w:snapToGrid w:val="0"/>
        <w:spacing w:before="0" w:after="0" w:line="312" w:lineRule="auto"/>
        <w:ind w:firstLine="643"/>
        <w:rPr>
          <w:rFonts w:ascii="Times New Roman" w:hAnsi="Times New Roman" w:eastAsia="楷体_GB2312"/>
          <w:lang w:eastAsia="zh-CN"/>
        </w:rPr>
      </w:pPr>
      <w:bookmarkStart w:id="70" w:name="_Toc409764076"/>
      <w:bookmarkStart w:id="71" w:name="_Toc426445183"/>
      <w:r>
        <w:rPr>
          <w:rFonts w:hint="eastAsia" w:ascii="Times New Roman" w:hAnsi="Times New Roman" w:eastAsia="楷体_GB2312"/>
          <w:lang w:eastAsia="zh-CN"/>
        </w:rPr>
        <w:t>1</w:t>
      </w:r>
      <w:r>
        <w:rPr>
          <w:rFonts w:ascii="Times New Roman" w:hAnsi="Times New Roman" w:eastAsia="楷体_GB2312"/>
        </w:rPr>
        <w:t>.</w:t>
      </w:r>
      <w:r>
        <w:rPr>
          <w:rFonts w:hint="eastAsia" w:ascii="Times New Roman" w:hAnsi="Times New Roman" w:eastAsia="楷体_GB2312"/>
          <w:lang w:eastAsia="zh-CN"/>
        </w:rPr>
        <w:t xml:space="preserve"> 加强和改进</w:t>
      </w:r>
      <w:r>
        <w:rPr>
          <w:rFonts w:hint="eastAsia" w:ascii="Times New Roman" w:hAnsi="Times New Roman" w:eastAsia="楷体_GB2312"/>
        </w:rPr>
        <w:t>学生思想政治</w:t>
      </w:r>
      <w:bookmarkEnd w:id="70"/>
      <w:r>
        <w:rPr>
          <w:rFonts w:hint="eastAsia" w:ascii="Times New Roman" w:hAnsi="Times New Roman" w:eastAsia="楷体_GB2312"/>
          <w:lang w:eastAsia="zh-CN"/>
        </w:rPr>
        <w:t>教育工作</w:t>
      </w:r>
      <w:bookmarkEnd w:id="71"/>
    </w:p>
    <w:p>
      <w:pPr>
        <w:adjustRightInd w:val="0"/>
        <w:snapToGrid w:val="0"/>
        <w:spacing w:line="312" w:lineRule="auto"/>
        <w:ind w:firstLine="640" w:firstLineChars="200"/>
        <w:rPr>
          <w:rFonts w:eastAsia="仿宋_GB2312"/>
          <w:sz w:val="32"/>
          <w:szCs w:val="32"/>
        </w:rPr>
      </w:pPr>
      <w:r>
        <w:rPr>
          <w:rFonts w:hint="eastAsia" w:eastAsia="仿宋_GB2312"/>
          <w:sz w:val="32"/>
          <w:szCs w:val="32"/>
        </w:rPr>
        <w:t>深</w:t>
      </w:r>
      <w:r>
        <w:rPr>
          <w:rFonts w:hint="eastAsia" w:eastAsia="仿宋_GB2312"/>
          <w:sz w:val="32"/>
          <w:szCs w:val="32"/>
          <w:lang w:val="zh-CN" w:eastAsia="zh-CN"/>
        </w:rPr>
        <w:t>入开展中国特色社会主义和中国梦教育，在广大师生中积极培育和践行社会主义核心价值观，引导大学生关心国家命运，自觉把个人理想与国家梦想、个人价值与国家发展结合起来。规范形势与政策教育教学，加强民族团结教育，加强中华优秀传统文化教育，深入开展“我的中国梦”主题教育活动，推进学雷锋活动常态化。健全学生思想政治教育长效机制，创新网络思想政治教育方式方法。提高高校思想政治理论课实效，推进辅导员队伍专业化、职业化建设，扶持学生优秀社会实践活动，加强心理健康教育与咨询</w:t>
      </w:r>
      <w:r>
        <w:rPr>
          <w:rFonts w:hint="eastAsia" w:eastAsia="仿宋_GB2312"/>
          <w:sz w:val="32"/>
          <w:szCs w:val="32"/>
        </w:rPr>
        <w:t>机构建设，全面推进《全国大学生思想政治教育质量测评体系（试行）》。创建平安校园、和谐校园。</w:t>
      </w:r>
    </w:p>
    <w:p>
      <w:pPr>
        <w:pStyle w:val="4"/>
        <w:snapToGrid w:val="0"/>
        <w:spacing w:before="0" w:after="0" w:line="312" w:lineRule="auto"/>
        <w:ind w:firstLine="643"/>
        <w:rPr>
          <w:rFonts w:ascii="Times New Roman" w:hAnsi="Times New Roman" w:eastAsia="楷体_GB2312"/>
        </w:rPr>
      </w:pPr>
      <w:bookmarkStart w:id="72" w:name="_Toc409764077"/>
      <w:bookmarkStart w:id="73" w:name="_Toc426445184"/>
      <w:r>
        <w:rPr>
          <w:rFonts w:hint="eastAsia" w:ascii="Times New Roman" w:hAnsi="Times New Roman" w:eastAsia="楷体_GB2312"/>
          <w:lang w:eastAsia="zh-CN"/>
        </w:rPr>
        <w:t xml:space="preserve">2. </w:t>
      </w:r>
      <w:r>
        <w:rPr>
          <w:rFonts w:hint="eastAsia" w:ascii="Times New Roman" w:hAnsi="Times New Roman" w:eastAsia="楷体_GB2312"/>
        </w:rPr>
        <w:t>促进职业技能培养与职业精神养成相融合</w:t>
      </w:r>
      <w:bookmarkEnd w:id="72"/>
      <w:bookmarkEnd w:id="73"/>
    </w:p>
    <w:p>
      <w:pPr>
        <w:adjustRightInd w:val="0"/>
        <w:snapToGrid w:val="0"/>
        <w:spacing w:line="312" w:lineRule="auto"/>
        <w:ind w:firstLine="640" w:firstLineChars="200"/>
        <w:rPr>
          <w:rFonts w:eastAsia="仿宋_GB2312"/>
          <w:sz w:val="32"/>
          <w:szCs w:val="32"/>
        </w:rPr>
      </w:pPr>
      <w:r>
        <w:rPr>
          <w:rFonts w:hint="eastAsia" w:eastAsia="仿宋_GB2312"/>
          <w:sz w:val="32"/>
          <w:szCs w:val="32"/>
          <w:lang w:val="zh-CN" w:eastAsia="zh-CN"/>
        </w:rPr>
        <w:t>加强文化素质教育，坚持知识学习、技能培养与品德修养相统一，将人文素养和职业素质教育纳入人才培养方案，加强文化艺术类课程建设，完善人格修养，培育学生诚实守信、崇尚科学、追求真理的思想观念。</w:t>
      </w:r>
      <w:r>
        <w:rPr>
          <w:rFonts w:hint="eastAsia" w:eastAsia="仿宋_GB2312"/>
          <w:sz w:val="32"/>
          <w:szCs w:val="32"/>
          <w:lang w:val="zh-CN"/>
        </w:rPr>
        <w:t>贯彻落实</w:t>
      </w:r>
      <w:r>
        <w:rPr>
          <w:rFonts w:hint="eastAsia" w:eastAsia="仿宋_GB2312"/>
          <w:sz w:val="32"/>
          <w:szCs w:val="32"/>
          <w:lang w:val="zh-CN" w:eastAsia="zh-CN"/>
        </w:rPr>
        <w:t>《高等学校体育工作基本标准》</w:t>
      </w:r>
      <w:r>
        <w:rPr>
          <w:rFonts w:hint="eastAsia" w:eastAsia="仿宋_GB2312"/>
          <w:sz w:val="32"/>
          <w:szCs w:val="32"/>
          <w:lang w:val="zh-CN"/>
        </w:rPr>
        <w:t>，促进学生身心健康；充分发挥</w:t>
      </w:r>
      <w:r>
        <w:rPr>
          <w:rFonts w:hint="eastAsia" w:eastAsia="仿宋_GB2312"/>
          <w:sz w:val="32"/>
          <w:szCs w:val="32"/>
          <w:lang w:val="zh-CN" w:eastAsia="zh-CN"/>
        </w:rPr>
        <w:t>校园文化对职业精神养成的</w:t>
      </w:r>
      <w:r>
        <w:rPr>
          <w:rFonts w:hint="eastAsia" w:eastAsia="仿宋_GB2312"/>
          <w:sz w:val="32"/>
          <w:szCs w:val="32"/>
          <w:lang w:val="zh-CN"/>
        </w:rPr>
        <w:t>独特作用</w:t>
      </w:r>
      <w:r>
        <w:rPr>
          <w:rFonts w:hint="eastAsia" w:eastAsia="仿宋_GB2312"/>
          <w:sz w:val="32"/>
          <w:szCs w:val="32"/>
          <w:lang w:val="zh-CN" w:eastAsia="zh-CN"/>
        </w:rPr>
        <w:t>，推进优秀产业文化进教育、企业文化进校园、职业文化进课堂，将生态环保、绿色节能、循环经济等理念融入教育过程；利用学校博物馆、校史馆、图书馆、档案馆等，发挥学校历史沿革、专业发展历程、杰出人物事迹的文化育人作用。围绕传播职业精神组织第二课堂，弘扬以德为先、追求技艺、重视传承的中华优秀传统文化。发挥学生党支部、共青团、学生会、学生</w:t>
      </w:r>
      <w:r>
        <w:rPr>
          <w:rFonts w:hint="eastAsia" w:eastAsia="仿宋_GB2312"/>
          <w:sz w:val="32"/>
          <w:szCs w:val="32"/>
        </w:rPr>
        <w:t>社团的作用，与政府、行业、企业合作开展内容丰富、形式新颖、传递正能量的实践育人活动和校园文化活动。注重用优秀毕业生先进事迹教育引导在校学生。</w:t>
      </w:r>
    </w:p>
    <w:p>
      <w:pPr>
        <w:pStyle w:val="3"/>
        <w:snapToGrid w:val="0"/>
        <w:spacing w:before="0" w:after="0" w:line="312" w:lineRule="auto"/>
        <w:ind w:firstLine="643"/>
        <w:rPr>
          <w:rFonts w:ascii="Times New Roman" w:hAnsi="Times New Roman"/>
          <w:b/>
        </w:rPr>
      </w:pPr>
      <w:bookmarkStart w:id="74" w:name="_Toc426445185"/>
      <w:r>
        <w:rPr>
          <w:rFonts w:hint="eastAsia" w:ascii="Times New Roman" w:hAnsi="Times New Roman" w:eastAsia="黑体"/>
          <w:b/>
        </w:rPr>
        <w:t>三、保障措施</w:t>
      </w:r>
      <w:bookmarkEnd w:id="74"/>
    </w:p>
    <w:p>
      <w:pPr>
        <w:adjustRightInd w:val="0"/>
        <w:snapToGrid w:val="0"/>
        <w:spacing w:line="312" w:lineRule="auto"/>
        <w:ind w:firstLine="640" w:firstLineChars="200"/>
        <w:rPr>
          <w:rFonts w:eastAsia="仿宋_GB2312"/>
          <w:sz w:val="32"/>
          <w:szCs w:val="32"/>
        </w:rPr>
      </w:pPr>
      <w:r>
        <w:rPr>
          <w:rFonts w:hint="eastAsia" w:eastAsia="仿宋_GB2312"/>
          <w:sz w:val="32"/>
          <w:szCs w:val="32"/>
        </w:rPr>
        <w:t>本计划是今后一个时期高等职业教育战线贯彻</w:t>
      </w:r>
      <w:r>
        <w:rPr>
          <w:rFonts w:eastAsia="仿宋_GB2312"/>
          <w:sz w:val="32"/>
          <w:szCs w:val="32"/>
        </w:rPr>
        <w:t>2014</w:t>
      </w:r>
      <w:r>
        <w:rPr>
          <w:rFonts w:hint="eastAsia" w:eastAsia="仿宋_GB2312"/>
          <w:sz w:val="32"/>
          <w:szCs w:val="32"/>
        </w:rPr>
        <w:t>年全国职业教育工作会议精神</w:t>
      </w:r>
      <w:r>
        <w:rPr>
          <w:rFonts w:hint="eastAsia" w:ascii="仿宋_GB2312" w:eastAsia="仿宋_GB2312"/>
          <w:color w:val="000000"/>
          <w:sz w:val="32"/>
          <w:szCs w:val="32"/>
        </w:rPr>
        <w:t>和落实全国人大常委会职业教育法执法检查有关要求</w:t>
      </w:r>
      <w:r>
        <w:rPr>
          <w:rFonts w:hint="eastAsia" w:eastAsia="仿宋_GB2312"/>
          <w:sz w:val="32"/>
          <w:szCs w:val="32"/>
        </w:rPr>
        <w:t>，深入推进改革发展的路线图，各地必须高度重视，保证落实。</w:t>
      </w:r>
    </w:p>
    <w:p>
      <w:pPr>
        <w:pStyle w:val="3"/>
        <w:snapToGrid w:val="0"/>
        <w:spacing w:before="0" w:after="0" w:line="312" w:lineRule="auto"/>
        <w:ind w:firstLine="643"/>
        <w:rPr>
          <w:rFonts w:ascii="Times New Roman" w:hAnsi="Times New Roman" w:eastAsia="黑体"/>
          <w:b/>
        </w:rPr>
      </w:pPr>
      <w:bookmarkStart w:id="75" w:name="_Toc426445186"/>
      <w:bookmarkStart w:id="76" w:name="_Toc396726731"/>
      <w:bookmarkStart w:id="77" w:name="_Toc318277166"/>
      <w:bookmarkStart w:id="78" w:name="_Toc290544856"/>
      <w:bookmarkStart w:id="79" w:name="_Toc318140044"/>
      <w:bookmarkStart w:id="80" w:name="_Toc292285482"/>
      <w:bookmarkStart w:id="81" w:name="_Toc310585385"/>
      <w:bookmarkStart w:id="82" w:name="_Toc345178862"/>
      <w:bookmarkStart w:id="83" w:name="_Toc290822762"/>
      <w:bookmarkStart w:id="84" w:name="_Toc309579264"/>
      <w:r>
        <w:rPr>
          <w:rFonts w:hint="eastAsia" w:ascii="Times New Roman" w:hAnsi="Times New Roman" w:eastAsia="黑体"/>
          <w:b/>
        </w:rPr>
        <w:t>（一）加强组织领导</w:t>
      </w:r>
      <w:bookmarkEnd w:id="75"/>
      <w:bookmarkEnd w:id="76"/>
    </w:p>
    <w:p>
      <w:pPr>
        <w:adjustRightInd w:val="0"/>
        <w:snapToGrid w:val="0"/>
        <w:spacing w:line="312" w:lineRule="auto"/>
        <w:ind w:firstLine="640" w:firstLineChars="200"/>
        <w:rPr>
          <w:rFonts w:eastAsia="仿宋_GB2312"/>
          <w:sz w:val="32"/>
          <w:szCs w:val="32"/>
        </w:rPr>
      </w:pPr>
      <w:r>
        <w:rPr>
          <w:rFonts w:hint="eastAsia" w:eastAsia="仿宋_GB2312"/>
          <w:sz w:val="32"/>
          <w:szCs w:val="32"/>
        </w:rPr>
        <w:t>教育部负责协调国务院相关部门牵头制定国家层面的政策、制度和标准，省级政府是实施行动计划的责任主体。各地教育行政部门要充分发挥统筹规划、宏观管理作用，主动协调配合发展改革、财政、人社、农业、扶贫等有关部门，协调项目预算、保证任务落实。各地要发挥职业教育工作部门联席会议作用，根据本行动计划内容，结合实际制定好落实方案；按照国家财政体制改革要求，统筹各类教育培训经费，保证落实方案的顺利实施；推动职业教育改革试验区和体制改革试点先行先试，出台政策、配套条件，有效解决瓶颈问题。</w:t>
      </w:r>
    </w:p>
    <w:p>
      <w:pPr>
        <w:pStyle w:val="3"/>
        <w:snapToGrid w:val="0"/>
        <w:spacing w:before="0" w:after="0" w:line="312" w:lineRule="auto"/>
        <w:ind w:firstLine="643"/>
        <w:rPr>
          <w:rFonts w:ascii="Times New Roman" w:hAnsi="Times New Roman" w:eastAsia="黑体"/>
          <w:b/>
        </w:rPr>
      </w:pPr>
      <w:bookmarkStart w:id="85" w:name="_Toc396726732"/>
      <w:bookmarkStart w:id="86" w:name="_Toc426445187"/>
      <w:r>
        <w:rPr>
          <w:rFonts w:hint="eastAsia" w:ascii="Times New Roman" w:hAnsi="Times New Roman" w:eastAsia="黑体"/>
          <w:b/>
        </w:rPr>
        <w:t>（二）强化管理</w:t>
      </w:r>
      <w:bookmarkEnd w:id="85"/>
      <w:r>
        <w:rPr>
          <w:rFonts w:hint="eastAsia" w:ascii="Times New Roman" w:hAnsi="Times New Roman" w:eastAsia="黑体"/>
          <w:b/>
        </w:rPr>
        <w:t>督查</w:t>
      </w:r>
      <w:bookmarkEnd w:id="86"/>
    </w:p>
    <w:p>
      <w:pPr>
        <w:adjustRightInd w:val="0"/>
        <w:snapToGrid w:val="0"/>
        <w:spacing w:line="312" w:lineRule="auto"/>
        <w:ind w:firstLine="640" w:firstLineChars="200"/>
        <w:rPr>
          <w:rFonts w:eastAsia="仿宋_GB2312"/>
        </w:rPr>
      </w:pPr>
      <w:r>
        <w:rPr>
          <w:rFonts w:hint="eastAsia" w:eastAsia="仿宋_GB2312"/>
          <w:sz w:val="32"/>
          <w:szCs w:val="32"/>
        </w:rPr>
        <w:t>各地要逐级按照职能分工量化落实方案，逐级分解任务、明确目标、落实责任，确定时间表和任务书，实行项目管理；将落实方案执行情况列入省政府督查范围，将目标责任完成情况作为督查对象业绩考核的重要内容。省级教育行政部门要充分发挥业务指导作用，会同有关部门加强对相关工作的日常指导、检查与跟踪，及时总结经验、发现问题，根据实际需要不断完善工作要求。行业部门要引导和督促相关行业企业制定和执行实施方案。鼓励社会各界对计划实施情况进行监督。教育部将汇总整理各地申请承担的任务及量化指标、统筹梳理各地自主申请的项目及建设方案予以发布，同时做好事中监督管理、事后检查验收工作；各地实际任务及项目的完成情况将作为中央财政改革绩效奖补、国家职业教育改革发展试验区和“国家教育体制改革试点”布局和验收的重要依据。</w:t>
      </w:r>
    </w:p>
    <w:bookmarkEnd w:id="77"/>
    <w:bookmarkEnd w:id="78"/>
    <w:bookmarkEnd w:id="79"/>
    <w:bookmarkEnd w:id="80"/>
    <w:bookmarkEnd w:id="81"/>
    <w:bookmarkEnd w:id="82"/>
    <w:bookmarkEnd w:id="83"/>
    <w:bookmarkEnd w:id="84"/>
    <w:p>
      <w:pPr>
        <w:pStyle w:val="3"/>
        <w:snapToGrid w:val="0"/>
        <w:spacing w:before="0" w:after="0" w:line="312" w:lineRule="auto"/>
        <w:ind w:firstLine="643"/>
        <w:rPr>
          <w:rFonts w:ascii="Times New Roman" w:hAnsi="Times New Roman" w:eastAsia="黑体"/>
          <w:b/>
        </w:rPr>
      </w:pPr>
      <w:bookmarkStart w:id="87" w:name="_Toc426445188"/>
      <w:r>
        <w:rPr>
          <w:rFonts w:hint="eastAsia" w:ascii="Times New Roman" w:hAnsi="Times New Roman" w:eastAsia="黑体"/>
          <w:b/>
        </w:rPr>
        <w:t>（三）营造良好环境</w:t>
      </w:r>
      <w:bookmarkEnd w:id="87"/>
    </w:p>
    <w:p>
      <w:pPr>
        <w:adjustRightInd w:val="0"/>
        <w:snapToGrid w:val="0"/>
        <w:spacing w:line="312" w:lineRule="auto"/>
        <w:ind w:firstLine="640" w:firstLineChars="200"/>
        <w:rPr>
          <w:rFonts w:eastAsia="仿宋_GB2312"/>
          <w:sz w:val="32"/>
          <w:szCs w:val="32"/>
        </w:rPr>
      </w:pPr>
      <w:r>
        <w:rPr>
          <w:rFonts w:hint="eastAsia" w:eastAsia="仿宋_GB2312"/>
          <w:sz w:val="32"/>
          <w:szCs w:val="32"/>
        </w:rPr>
        <w:t>鼓励各地根据需要出台职业教育条例、校企合作促进办法等地方性法规，优化区域政策环境。坚持“先培训、后就业”“先培训、后上岗”的原则；消除城乡、行业、学校、身份、性别等一切影响平等就业的制度障碍和就业歧视；深化收入分配制度改革，切实提高劳动报酬在初次分配中的比重。按照国家有关规定完善职业教育先进单位和先进个人表彰奖励制度，定期开展职业教育活动周宣传教育工作。通过主流媒体和各种新兴媒体，广泛宣传高等职业教育方针政策、高等职业院校先进经验和技术技能人才成果贡献，引导全社会树立重视职业教育的理念，促进形成“劳动光荣、技能宝贵、创造伟大”的社会氛围。</w:t>
      </w:r>
    </w:p>
    <w:p>
      <w:pPr>
        <w:pStyle w:val="2"/>
        <w:pageBreakBefore w:val="0"/>
        <w:widowControl w:val="0"/>
        <w:kinsoku/>
        <w:wordWrap/>
        <w:overflowPunct/>
        <w:topLinePunct w:val="0"/>
        <w:autoSpaceDE/>
        <w:autoSpaceDN/>
        <w:bidi w:val="0"/>
        <w:spacing w:before="0" w:after="0" w:line="460" w:lineRule="exact"/>
        <w:ind w:left="0" w:leftChars="0" w:right="0" w:rightChars="0" w:firstLine="0" w:firstLineChars="0"/>
        <w:jc w:val="both"/>
        <w:textAlignment w:val="auto"/>
        <w:rPr>
          <w:rFonts w:hint="eastAsia" w:ascii="Times New Roman" w:hAnsi="Times New Roman" w:eastAsia="仿宋_GB2312"/>
          <w:bCs w:val="0"/>
          <w:kern w:val="2"/>
          <w:szCs w:val="32"/>
          <w:lang w:val="en-US" w:eastAsia="zh-CN"/>
        </w:rPr>
      </w:pPr>
      <w:r>
        <w:rPr>
          <w:rFonts w:eastAsia="仿宋_GB2312"/>
          <w:szCs w:val="32"/>
        </w:rPr>
        <w:br w:type="page"/>
      </w:r>
      <w:bookmarkStart w:id="88" w:name="_Toc426445189"/>
      <w:bookmarkStart w:id="89" w:name="_Toc409764082"/>
      <w:r>
        <w:rPr>
          <w:rFonts w:hint="eastAsia" w:ascii="Times New Roman" w:hAnsi="Times New Roman" w:eastAsia="仿宋_GB2312"/>
          <w:bCs w:val="0"/>
          <w:kern w:val="2"/>
          <w:szCs w:val="32"/>
          <w:lang w:val="en-US" w:eastAsia="zh-CN"/>
        </w:rPr>
        <w:t>附</w:t>
      </w:r>
      <w:bookmarkEnd w:id="88"/>
    </w:p>
    <w:p>
      <w:pPr>
        <w:pStyle w:val="2"/>
        <w:pageBreakBefore w:val="0"/>
        <w:widowControl w:val="0"/>
        <w:kinsoku/>
        <w:wordWrap/>
        <w:overflowPunct/>
        <w:topLinePunct w:val="0"/>
        <w:autoSpaceDE/>
        <w:autoSpaceDN/>
        <w:bidi w:val="0"/>
        <w:spacing w:before="0" w:after="156" w:afterLines="50" w:line="460" w:lineRule="exact"/>
        <w:ind w:left="0" w:leftChars="0" w:right="0" w:rightChars="0" w:firstLine="800"/>
        <w:jc w:val="both"/>
        <w:textAlignment w:val="auto"/>
        <w:rPr>
          <w:rFonts w:ascii="Times New Roman" w:hAnsi="Times New Roman"/>
        </w:rPr>
      </w:pPr>
      <w:bookmarkStart w:id="90" w:name="_Toc426445190"/>
      <w:r>
        <w:rPr>
          <w:rFonts w:hint="eastAsia" w:ascii="Times New Roman" w:hAnsi="Times New Roman"/>
        </w:rPr>
        <w:t>高等职业教育创新发展行动计划</w:t>
      </w:r>
      <w:r>
        <w:rPr>
          <w:rFonts w:ascii="Times New Roman" w:hAnsi="Times New Roman"/>
        </w:rPr>
        <w:t>任务</w:t>
      </w:r>
      <w:r>
        <w:rPr>
          <w:rFonts w:hint="eastAsia" w:ascii="Times New Roman" w:hAnsi="Times New Roman"/>
          <w:lang w:eastAsia="zh-CN"/>
        </w:rPr>
        <w:t>、项目</w:t>
      </w:r>
      <w:r>
        <w:rPr>
          <w:rFonts w:ascii="Times New Roman" w:hAnsi="Times New Roman"/>
        </w:rPr>
        <w:t>一览表</w:t>
      </w:r>
      <w:bookmarkEnd w:id="89"/>
      <w:bookmarkEnd w:id="90"/>
    </w:p>
    <w:p>
      <w:pPr>
        <w:pageBreakBefore w:val="0"/>
        <w:widowControl w:val="0"/>
        <w:kinsoku/>
        <w:wordWrap/>
        <w:overflowPunct/>
        <w:topLinePunct w:val="0"/>
        <w:autoSpaceDE/>
        <w:autoSpaceDN/>
        <w:bidi w:val="0"/>
        <w:adjustRightInd w:val="0"/>
        <w:snapToGrid w:val="0"/>
        <w:spacing w:line="460" w:lineRule="exact"/>
        <w:ind w:left="0" w:leftChars="0" w:right="0" w:rightChars="0"/>
        <w:jc w:val="both"/>
        <w:textAlignment w:val="auto"/>
        <w:rPr>
          <w:rFonts w:hint="eastAsia" w:eastAsia="黑体"/>
          <w:bCs/>
          <w:kern w:val="44"/>
          <w:sz w:val="32"/>
          <w:szCs w:val="44"/>
          <w:lang w:val="zh-CN" w:eastAsia="zh-CN"/>
        </w:rPr>
      </w:pPr>
      <w:r>
        <w:rPr>
          <w:rFonts w:hint="eastAsia" w:eastAsia="黑体"/>
          <w:bCs/>
          <w:kern w:val="44"/>
          <w:sz w:val="32"/>
          <w:szCs w:val="44"/>
          <w:lang w:val="zh-CN" w:eastAsia="zh-CN"/>
        </w:rPr>
        <w:t>任务一览表</w:t>
      </w:r>
    </w:p>
    <w:tbl>
      <w:tblPr>
        <w:tblStyle w:val="22"/>
        <w:tblW w:w="954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1"/>
        <w:gridCol w:w="3805"/>
        <w:gridCol w:w="178"/>
        <w:gridCol w:w="1914"/>
        <w:gridCol w:w="627"/>
        <w:gridCol w:w="1466"/>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332" w:hRule="atLeast"/>
          <w:tblHeader/>
          <w:jc w:val="center"/>
        </w:trPr>
        <w:tc>
          <w:tcPr>
            <w:tcW w:w="1551" w:type="dxa"/>
            <w:shd w:val="clear" w:color="000000" w:fill="FFFFFF"/>
            <w:vAlign w:val="center"/>
          </w:tcPr>
          <w:p>
            <w:pPr>
              <w:widowControl/>
              <w:snapToGrid w:val="0"/>
              <w:spacing w:line="240" w:lineRule="atLeast"/>
              <w:jc w:val="center"/>
              <w:rPr>
                <w:rFonts w:ascii="黑体" w:hAnsi="黑体" w:eastAsia="黑体" w:cs="宋体"/>
                <w:color w:val="000000"/>
                <w:kern w:val="0"/>
                <w:sz w:val="24"/>
              </w:rPr>
            </w:pPr>
            <w:r>
              <w:rPr>
                <w:rFonts w:hint="eastAsia" w:ascii="黑体" w:hAnsi="黑体" w:eastAsia="黑体" w:cs="宋体"/>
                <w:color w:val="000000"/>
                <w:kern w:val="0"/>
                <w:sz w:val="24"/>
              </w:rPr>
              <w:t>序号</w:t>
            </w:r>
          </w:p>
        </w:tc>
        <w:tc>
          <w:tcPr>
            <w:tcW w:w="3983" w:type="dxa"/>
            <w:gridSpan w:val="2"/>
            <w:shd w:val="clear" w:color="000000" w:fill="FFFFFF"/>
            <w:vAlign w:val="center"/>
          </w:tcPr>
          <w:p>
            <w:pPr>
              <w:widowControl/>
              <w:snapToGrid w:val="0"/>
              <w:spacing w:line="240" w:lineRule="atLeast"/>
              <w:jc w:val="center"/>
              <w:rPr>
                <w:rFonts w:ascii="黑体" w:hAnsi="黑体" w:eastAsia="黑体" w:cs="宋体"/>
                <w:color w:val="000000"/>
                <w:kern w:val="0"/>
                <w:sz w:val="24"/>
              </w:rPr>
            </w:pPr>
            <w:r>
              <w:rPr>
                <w:rFonts w:hint="eastAsia" w:ascii="黑体" w:hAnsi="黑体" w:eastAsia="黑体" w:cs="宋体"/>
                <w:color w:val="000000"/>
                <w:kern w:val="0"/>
                <w:sz w:val="24"/>
              </w:rPr>
              <w:t>工作任务</w:t>
            </w:r>
          </w:p>
        </w:tc>
        <w:tc>
          <w:tcPr>
            <w:tcW w:w="1914" w:type="dxa"/>
            <w:shd w:val="clear" w:color="000000" w:fill="FFFFFF"/>
            <w:vAlign w:val="center"/>
          </w:tcPr>
          <w:p>
            <w:pPr>
              <w:widowControl/>
              <w:snapToGrid w:val="0"/>
              <w:spacing w:line="240" w:lineRule="atLeast"/>
              <w:jc w:val="center"/>
              <w:rPr>
                <w:rFonts w:ascii="黑体" w:hAnsi="黑体" w:eastAsia="黑体" w:cs="宋体"/>
                <w:color w:val="000000"/>
                <w:kern w:val="0"/>
                <w:sz w:val="24"/>
              </w:rPr>
            </w:pPr>
            <w:r>
              <w:rPr>
                <w:rFonts w:hint="eastAsia" w:ascii="黑体" w:hAnsi="黑体" w:eastAsia="黑体" w:cs="宋体"/>
                <w:color w:val="000000"/>
                <w:kern w:val="0"/>
                <w:sz w:val="24"/>
              </w:rPr>
              <w:t>负责单位</w:t>
            </w:r>
          </w:p>
        </w:tc>
        <w:tc>
          <w:tcPr>
            <w:tcW w:w="2093" w:type="dxa"/>
            <w:gridSpan w:val="2"/>
            <w:shd w:val="clear" w:color="000000" w:fill="FFFFFF"/>
            <w:vAlign w:val="center"/>
          </w:tcPr>
          <w:p>
            <w:pPr>
              <w:widowControl/>
              <w:snapToGrid w:val="0"/>
              <w:spacing w:line="240" w:lineRule="atLeast"/>
              <w:jc w:val="center"/>
              <w:rPr>
                <w:rFonts w:ascii="黑体" w:hAnsi="黑体" w:eastAsia="黑体" w:cs="宋体"/>
                <w:color w:val="000000"/>
                <w:kern w:val="0"/>
                <w:sz w:val="24"/>
              </w:rPr>
            </w:pPr>
            <w:r>
              <w:rPr>
                <w:rFonts w:hint="eastAsia" w:ascii="黑体" w:hAnsi="黑体" w:eastAsia="黑体" w:cs="宋体"/>
                <w:color w:val="000000"/>
                <w:kern w:val="0"/>
                <w:sz w:val="24"/>
              </w:rPr>
              <w:t>时间进度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430" w:hRule="atLeast"/>
          <w:jc w:val="center"/>
        </w:trPr>
        <w:tc>
          <w:tcPr>
            <w:tcW w:w="9541" w:type="dxa"/>
            <w:gridSpan w:val="6"/>
            <w:shd w:val="clear" w:color="000000" w:fill="FFFFFF"/>
            <w:vAlign w:val="center"/>
          </w:tcPr>
          <w:p>
            <w:pPr>
              <w:widowControl/>
              <w:snapToGrid w:val="0"/>
              <w:spacing w:line="240" w:lineRule="atLeast"/>
              <w:jc w:val="center"/>
              <w:rPr>
                <w:rFonts w:ascii="黑体" w:hAnsi="黑体" w:eastAsia="黑体" w:cs="宋体"/>
                <w:color w:val="000000"/>
                <w:kern w:val="0"/>
                <w:sz w:val="24"/>
              </w:rPr>
            </w:pPr>
            <w:r>
              <w:rPr>
                <w:rFonts w:hint="eastAsia" w:ascii="黑体" w:hAnsi="黑体" w:eastAsia="黑体" w:cs="宋体"/>
                <w:color w:val="000000"/>
                <w:kern w:val="0"/>
                <w:sz w:val="24"/>
              </w:rPr>
              <w:t>一、扩大优质教育资源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705" w:hRule="atLeast"/>
          <w:jc w:val="center"/>
        </w:trPr>
        <w:tc>
          <w:tcPr>
            <w:tcW w:w="1551" w:type="dxa"/>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RW-1</w:t>
            </w:r>
          </w:p>
        </w:tc>
        <w:tc>
          <w:tcPr>
            <w:tcW w:w="3805" w:type="dxa"/>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加强与信誉良好的国际组织、跨国企业以及职业教育发达国家开展交流与合作</w:t>
            </w:r>
          </w:p>
        </w:tc>
        <w:tc>
          <w:tcPr>
            <w:tcW w:w="2719" w:type="dxa"/>
            <w:gridSpan w:val="3"/>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教育部（国际司、职成司）、省级教育行政部门</w:t>
            </w:r>
          </w:p>
        </w:tc>
        <w:tc>
          <w:tcPr>
            <w:tcW w:w="1466" w:type="dxa"/>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705" w:hRule="atLeast"/>
          <w:jc w:val="center"/>
        </w:trPr>
        <w:tc>
          <w:tcPr>
            <w:tcW w:w="1551" w:type="dxa"/>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RW-2</w:t>
            </w:r>
          </w:p>
        </w:tc>
        <w:tc>
          <w:tcPr>
            <w:tcW w:w="3805" w:type="dxa"/>
            <w:shd w:val="clear" w:color="auto" w:fill="auto"/>
            <w:vAlign w:val="center"/>
          </w:tcPr>
          <w:p>
            <w:pPr>
              <w:widowControl/>
              <w:snapToGrid w:val="0"/>
              <w:spacing w:line="240" w:lineRule="atLeast"/>
              <w:rPr>
                <w:rFonts w:hint="eastAsia" w:ascii="仿宋_GB2312" w:eastAsia="仿宋_GB2312"/>
                <w:color w:val="000000"/>
                <w:kern w:val="0"/>
                <w:sz w:val="24"/>
                <w:lang w:val="zh-CN"/>
              </w:rPr>
            </w:pPr>
            <w:r>
              <w:rPr>
                <w:rFonts w:hint="eastAsia" w:ascii="仿宋_GB2312" w:eastAsia="仿宋_GB2312"/>
                <w:color w:val="000000"/>
                <w:kern w:val="0"/>
                <w:sz w:val="24"/>
              </w:rPr>
              <w:t>学习和引进国际先进成熟适用的职业标准、专业课程、教材体系和数字化教育资源</w:t>
            </w:r>
          </w:p>
        </w:tc>
        <w:tc>
          <w:tcPr>
            <w:tcW w:w="2719" w:type="dxa"/>
            <w:gridSpan w:val="3"/>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省级教育行政部门、高等职业院校</w:t>
            </w:r>
          </w:p>
        </w:tc>
        <w:tc>
          <w:tcPr>
            <w:tcW w:w="1466" w:type="dxa"/>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705" w:hRule="atLeast"/>
          <w:jc w:val="center"/>
        </w:trPr>
        <w:tc>
          <w:tcPr>
            <w:tcW w:w="1551" w:type="dxa"/>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RW-3</w:t>
            </w:r>
          </w:p>
        </w:tc>
        <w:tc>
          <w:tcPr>
            <w:tcW w:w="3805" w:type="dxa"/>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选择类型相同、专业相近的国（境）外高水平院校联合开发课程，共建专业、实验室或实训基地，建立教师交流、学生交换、学分互认等合作关系</w:t>
            </w:r>
          </w:p>
        </w:tc>
        <w:tc>
          <w:tcPr>
            <w:tcW w:w="2719" w:type="dxa"/>
            <w:gridSpan w:val="3"/>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省级教育行政部门、高等职业院校</w:t>
            </w:r>
          </w:p>
        </w:tc>
        <w:tc>
          <w:tcPr>
            <w:tcW w:w="1466" w:type="dxa"/>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705" w:hRule="atLeast"/>
          <w:jc w:val="center"/>
        </w:trPr>
        <w:tc>
          <w:tcPr>
            <w:tcW w:w="1551" w:type="dxa"/>
            <w:tcBorders>
              <w:bottom w:val="single" w:color="auto" w:sz="4" w:space="0"/>
            </w:tcBorders>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RW-4</w:t>
            </w:r>
          </w:p>
        </w:tc>
        <w:tc>
          <w:tcPr>
            <w:tcW w:w="3805" w:type="dxa"/>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支持高等职业院校申办聘请外国专家（文教类）许可</w:t>
            </w:r>
          </w:p>
        </w:tc>
        <w:tc>
          <w:tcPr>
            <w:tcW w:w="2719" w:type="dxa"/>
            <w:gridSpan w:val="3"/>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教育部（国际司、职成司）、省级教育行政部门、高等职业院校</w:t>
            </w:r>
          </w:p>
        </w:tc>
        <w:tc>
          <w:tcPr>
            <w:tcW w:w="1466" w:type="dxa"/>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705" w:hRule="atLeast"/>
          <w:jc w:val="center"/>
        </w:trPr>
        <w:tc>
          <w:tcPr>
            <w:tcW w:w="1551" w:type="dxa"/>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RW-5</w:t>
            </w:r>
          </w:p>
        </w:tc>
        <w:tc>
          <w:tcPr>
            <w:tcW w:w="3805"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eastAsia="仿宋_GB2312"/>
                <w:color w:val="000000"/>
                <w:kern w:val="0"/>
                <w:sz w:val="24"/>
              </w:rPr>
              <w:t>举办高水平中外合作办学项目和机构</w:t>
            </w:r>
          </w:p>
        </w:tc>
        <w:tc>
          <w:tcPr>
            <w:tcW w:w="2719" w:type="dxa"/>
            <w:gridSpan w:val="3"/>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教育部（国际司、职成司）、省级教育行政部门、高等职业院校</w:t>
            </w:r>
          </w:p>
        </w:tc>
        <w:tc>
          <w:tcPr>
            <w:tcW w:w="1466"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705" w:hRule="atLeast"/>
          <w:jc w:val="center"/>
        </w:trPr>
        <w:tc>
          <w:tcPr>
            <w:tcW w:w="1551" w:type="dxa"/>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RW-6</w:t>
            </w:r>
          </w:p>
        </w:tc>
        <w:tc>
          <w:tcPr>
            <w:tcW w:w="3805"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lang w:val="zh-CN"/>
              </w:rPr>
            </w:pPr>
            <w:r>
              <w:rPr>
                <w:rFonts w:hint="eastAsia" w:ascii="仿宋_GB2312" w:hAnsi="宋体" w:eastAsia="仿宋_GB2312" w:cs="宋体"/>
                <w:color w:val="000000"/>
                <w:kern w:val="0"/>
                <w:sz w:val="24"/>
              </w:rPr>
              <w:t>完善以老带新的青年教师培养机制；建立教师轮训制度；专业教师每五年企业实践时间累计不少于6个月</w:t>
            </w:r>
          </w:p>
        </w:tc>
        <w:tc>
          <w:tcPr>
            <w:tcW w:w="2719" w:type="dxa"/>
            <w:gridSpan w:val="3"/>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eastAsia="仿宋_GB2312"/>
                <w:color w:val="000000"/>
                <w:kern w:val="0"/>
                <w:sz w:val="24"/>
              </w:rPr>
              <w:t>省级教育行政部门、</w:t>
            </w:r>
            <w:r>
              <w:rPr>
                <w:rFonts w:hint="eastAsia" w:ascii="仿宋_GB2312" w:hAnsi="宋体" w:eastAsia="仿宋_GB2312" w:cs="宋体"/>
                <w:color w:val="000000"/>
                <w:kern w:val="0"/>
                <w:sz w:val="24"/>
              </w:rPr>
              <w:t>高等职业院校</w:t>
            </w:r>
          </w:p>
        </w:tc>
        <w:tc>
          <w:tcPr>
            <w:tcW w:w="1466"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705" w:hRule="atLeast"/>
          <w:jc w:val="center"/>
        </w:trPr>
        <w:tc>
          <w:tcPr>
            <w:tcW w:w="1551" w:type="dxa"/>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RW-7</w:t>
            </w:r>
          </w:p>
        </w:tc>
        <w:tc>
          <w:tcPr>
            <w:tcW w:w="3805" w:type="dxa"/>
            <w:shd w:val="clear" w:color="auto" w:fill="auto"/>
            <w:vAlign w:val="center"/>
          </w:tcPr>
          <w:p>
            <w:pPr>
              <w:widowControl/>
              <w:snapToGrid w:val="0"/>
              <w:spacing w:line="240" w:lineRule="atLeast"/>
              <w:jc w:val="left"/>
              <w:rPr>
                <w:rFonts w:hint="eastAsia" w:ascii="仿宋_GB2312" w:hAnsi="宋体" w:eastAsia="仿宋_GB2312" w:cs="宋体"/>
                <w:color w:val="000000"/>
                <w:kern w:val="0"/>
                <w:sz w:val="24"/>
              </w:rPr>
            </w:pPr>
            <w:r>
              <w:rPr>
                <w:rFonts w:hint="eastAsia" w:ascii="仿宋_GB2312" w:eastAsia="仿宋_GB2312"/>
                <w:color w:val="000000"/>
                <w:kern w:val="0"/>
                <w:sz w:val="24"/>
              </w:rPr>
              <w:t>高等职业院校专业骨干教师国家级、省级培训计划</w:t>
            </w:r>
          </w:p>
        </w:tc>
        <w:tc>
          <w:tcPr>
            <w:tcW w:w="2719" w:type="dxa"/>
            <w:gridSpan w:val="3"/>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教育部（教师司、职成司）、省级</w:t>
            </w:r>
            <w:r>
              <w:rPr>
                <w:rFonts w:hint="eastAsia" w:ascii="仿宋_GB2312" w:eastAsia="仿宋_GB2312"/>
                <w:color w:val="000000"/>
                <w:kern w:val="0"/>
                <w:sz w:val="24"/>
              </w:rPr>
              <w:t>教育行政部门</w:t>
            </w:r>
          </w:p>
        </w:tc>
        <w:tc>
          <w:tcPr>
            <w:tcW w:w="1466" w:type="dxa"/>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2016年出台措施，持续推进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705" w:hRule="atLeast"/>
          <w:jc w:val="center"/>
        </w:trPr>
        <w:tc>
          <w:tcPr>
            <w:tcW w:w="1551" w:type="dxa"/>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RW-8</w:t>
            </w:r>
          </w:p>
        </w:tc>
        <w:tc>
          <w:tcPr>
            <w:tcW w:w="3805"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加强职业技术师范院校建设</w:t>
            </w:r>
          </w:p>
        </w:tc>
        <w:tc>
          <w:tcPr>
            <w:tcW w:w="2719" w:type="dxa"/>
            <w:gridSpan w:val="3"/>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有关省级</w:t>
            </w:r>
            <w:r>
              <w:rPr>
                <w:rFonts w:hint="eastAsia" w:ascii="仿宋_GB2312" w:eastAsia="仿宋_GB2312"/>
                <w:color w:val="000000"/>
                <w:kern w:val="0"/>
                <w:sz w:val="24"/>
              </w:rPr>
              <w:t>教育行政部门</w:t>
            </w:r>
          </w:p>
        </w:tc>
        <w:tc>
          <w:tcPr>
            <w:tcW w:w="1466"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705" w:hRule="atLeast"/>
          <w:jc w:val="center"/>
        </w:trPr>
        <w:tc>
          <w:tcPr>
            <w:tcW w:w="1551" w:type="dxa"/>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RW-9</w:t>
            </w:r>
          </w:p>
        </w:tc>
        <w:tc>
          <w:tcPr>
            <w:tcW w:w="3805" w:type="dxa"/>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支持专科高等职业院校按照有关规定自主聘请兼职教师；加强兼职教师的职业教育教学规律与教学方法培训；支持兼职教师或合作企业牵头申报教学研究项目、组织实施教学改革；把指导学生顶岗实习的企业技术人员纳入兼职教师管理范围。核算教师总数时，兼职教师数按每学年授课160学时为1名教师计算。</w:t>
            </w:r>
          </w:p>
        </w:tc>
        <w:tc>
          <w:tcPr>
            <w:tcW w:w="2719" w:type="dxa"/>
            <w:gridSpan w:val="3"/>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省级教育行政部门、高等职业院校</w:t>
            </w:r>
          </w:p>
        </w:tc>
        <w:tc>
          <w:tcPr>
            <w:tcW w:w="1466" w:type="dxa"/>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2016年出台措施，持续推进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705" w:hRule="atLeast"/>
          <w:jc w:val="center"/>
        </w:trPr>
        <w:tc>
          <w:tcPr>
            <w:tcW w:w="1551" w:type="dxa"/>
            <w:tcBorders>
              <w:bottom w:val="single" w:color="auto" w:sz="4" w:space="0"/>
            </w:tcBorders>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RW-10</w:t>
            </w:r>
          </w:p>
        </w:tc>
        <w:tc>
          <w:tcPr>
            <w:tcW w:w="3983" w:type="dxa"/>
            <w:gridSpan w:val="2"/>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在有关民族地区加强双语双师型教师队伍建设</w:t>
            </w:r>
          </w:p>
        </w:tc>
        <w:tc>
          <w:tcPr>
            <w:tcW w:w="1914" w:type="dxa"/>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教育部（民族司、教师司）、有关省级教育行政部门、有关高等职业院校</w:t>
            </w:r>
          </w:p>
        </w:tc>
        <w:tc>
          <w:tcPr>
            <w:tcW w:w="2093" w:type="dxa"/>
            <w:gridSpan w:val="2"/>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705" w:hRule="atLeast"/>
          <w:jc w:val="center"/>
        </w:trPr>
        <w:tc>
          <w:tcPr>
            <w:tcW w:w="1551" w:type="dxa"/>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RW-11</w:t>
            </w:r>
          </w:p>
        </w:tc>
        <w:tc>
          <w:tcPr>
            <w:tcW w:w="3983" w:type="dxa"/>
            <w:gridSpan w:val="2"/>
            <w:shd w:val="clear" w:color="auto" w:fill="auto"/>
            <w:vAlign w:val="center"/>
          </w:tcPr>
          <w:p>
            <w:pPr>
              <w:widowControl/>
              <w:snapToGrid w:val="0"/>
              <w:spacing w:line="240" w:lineRule="atLeast"/>
              <w:rPr>
                <w:rFonts w:hint="eastAsia" w:ascii="仿宋_GB2312" w:eastAsia="仿宋_GB2312"/>
                <w:color w:val="000000"/>
                <w:kern w:val="0"/>
                <w:sz w:val="24"/>
                <w:lang w:val="zh-CN"/>
              </w:rPr>
            </w:pPr>
            <w:r>
              <w:rPr>
                <w:rFonts w:hint="eastAsia" w:ascii="仿宋_GB2312" w:eastAsia="仿宋_GB2312"/>
                <w:color w:val="000000"/>
                <w:kern w:val="0"/>
                <w:sz w:val="24"/>
              </w:rPr>
              <w:t>推动落实《职业院校数字校园建设规范》，建设高等职业教育人才培养工作状态数据管理系统</w:t>
            </w:r>
          </w:p>
        </w:tc>
        <w:tc>
          <w:tcPr>
            <w:tcW w:w="1914" w:type="dxa"/>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教育部（科技司、职成司、信推办）、省级教育行政部门、高等职业院校</w:t>
            </w:r>
          </w:p>
        </w:tc>
        <w:tc>
          <w:tcPr>
            <w:tcW w:w="2093" w:type="dxa"/>
            <w:gridSpan w:val="2"/>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705" w:hRule="atLeast"/>
          <w:jc w:val="center"/>
        </w:trPr>
        <w:tc>
          <w:tcPr>
            <w:tcW w:w="1551" w:type="dxa"/>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RW-12</w:t>
            </w:r>
          </w:p>
        </w:tc>
        <w:tc>
          <w:tcPr>
            <w:tcW w:w="3983" w:type="dxa"/>
            <w:gridSpan w:val="2"/>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将信息技术应用能力作为教师评聘考核的重要依据</w:t>
            </w:r>
          </w:p>
        </w:tc>
        <w:tc>
          <w:tcPr>
            <w:tcW w:w="1914" w:type="dxa"/>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省级教育行政部门、高等职业院校</w:t>
            </w:r>
          </w:p>
        </w:tc>
        <w:tc>
          <w:tcPr>
            <w:tcW w:w="2093" w:type="dxa"/>
            <w:gridSpan w:val="2"/>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2016年底前出台措施，持续推进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705" w:hRule="atLeast"/>
          <w:jc w:val="center"/>
        </w:trPr>
        <w:tc>
          <w:tcPr>
            <w:tcW w:w="1551" w:type="dxa"/>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RW-13</w:t>
            </w:r>
          </w:p>
        </w:tc>
        <w:tc>
          <w:tcPr>
            <w:tcW w:w="3983" w:type="dxa"/>
            <w:gridSpan w:val="2"/>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办好全国职业院校信息化教学大赛</w:t>
            </w:r>
          </w:p>
        </w:tc>
        <w:tc>
          <w:tcPr>
            <w:tcW w:w="1914" w:type="dxa"/>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教育部（职成司）</w:t>
            </w:r>
          </w:p>
        </w:tc>
        <w:tc>
          <w:tcPr>
            <w:tcW w:w="2093" w:type="dxa"/>
            <w:gridSpan w:val="2"/>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705" w:hRule="atLeast"/>
          <w:jc w:val="center"/>
        </w:trPr>
        <w:tc>
          <w:tcPr>
            <w:tcW w:w="1551" w:type="dxa"/>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RW-14</w:t>
            </w:r>
          </w:p>
        </w:tc>
        <w:tc>
          <w:tcPr>
            <w:tcW w:w="398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发布实施“关于引导部分地方普通本科高校向应用型转变的指导意见”；探索本科层次职业教育实现形式和培养模式</w:t>
            </w:r>
          </w:p>
        </w:tc>
        <w:tc>
          <w:tcPr>
            <w:tcW w:w="1914"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教育部（规划司、高教司）、省级</w:t>
            </w:r>
            <w:r>
              <w:rPr>
                <w:rFonts w:hint="eastAsia" w:ascii="仿宋_GB2312" w:eastAsia="仿宋_GB2312"/>
                <w:color w:val="000000"/>
                <w:kern w:val="0"/>
                <w:sz w:val="24"/>
              </w:rPr>
              <w:t>教育行政部门</w:t>
            </w:r>
          </w:p>
        </w:tc>
        <w:tc>
          <w:tcPr>
            <w:tcW w:w="209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eastAsia="仿宋_GB2312"/>
                <w:color w:val="000000"/>
                <w:kern w:val="0"/>
                <w:sz w:val="24"/>
              </w:rPr>
              <w:t>2016</w:t>
            </w:r>
            <w:r>
              <w:rPr>
                <w:rFonts w:hint="eastAsia" w:ascii="仿宋_GB2312" w:hAnsi="宋体" w:eastAsia="仿宋_GB2312" w:cs="宋体"/>
                <w:color w:val="000000"/>
                <w:kern w:val="0"/>
                <w:sz w:val="24"/>
              </w:rPr>
              <w:t>年</w:t>
            </w:r>
            <w:r>
              <w:rPr>
                <w:rFonts w:hint="eastAsia" w:ascii="仿宋_GB2312" w:eastAsia="仿宋_GB2312"/>
                <w:color w:val="000000"/>
                <w:kern w:val="0"/>
                <w:sz w:val="24"/>
              </w:rPr>
              <w:t>底前</w:t>
            </w:r>
            <w:r>
              <w:rPr>
                <w:rFonts w:hint="eastAsia" w:ascii="仿宋_GB2312" w:hAnsi="宋体" w:eastAsia="仿宋_GB2312" w:cs="宋体"/>
                <w:color w:val="000000"/>
                <w:kern w:val="0"/>
                <w:sz w:val="24"/>
              </w:rPr>
              <w:t>出台措施，持续推进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705" w:hRule="atLeast"/>
          <w:jc w:val="center"/>
        </w:trPr>
        <w:tc>
          <w:tcPr>
            <w:tcW w:w="1551" w:type="dxa"/>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RW-15</w:t>
            </w:r>
          </w:p>
        </w:tc>
        <w:tc>
          <w:tcPr>
            <w:tcW w:w="398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开展设立专科高等职业教育学位的可行性研究</w:t>
            </w:r>
          </w:p>
        </w:tc>
        <w:tc>
          <w:tcPr>
            <w:tcW w:w="1914"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教育部（职成司、学位办）</w:t>
            </w:r>
          </w:p>
        </w:tc>
        <w:tc>
          <w:tcPr>
            <w:tcW w:w="2093" w:type="dxa"/>
            <w:gridSpan w:val="2"/>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2018年</w:t>
            </w:r>
            <w:r>
              <w:rPr>
                <w:rFonts w:hint="eastAsia" w:ascii="仿宋_GB2312" w:hAnsi="宋体" w:eastAsia="仿宋_GB2312" w:cs="宋体"/>
                <w:color w:val="000000"/>
                <w:kern w:val="0"/>
                <w:sz w:val="24"/>
              </w:rPr>
              <w:t>底前</w:t>
            </w:r>
            <w:r>
              <w:rPr>
                <w:rFonts w:hint="eastAsia" w:ascii="仿宋_GB2312" w:eastAsia="仿宋_GB2312"/>
                <w:color w:val="000000"/>
                <w:kern w:val="0"/>
                <w:sz w:val="24"/>
              </w:rPr>
              <w:t>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705" w:hRule="atLeast"/>
          <w:jc w:val="center"/>
        </w:trPr>
        <w:tc>
          <w:tcPr>
            <w:tcW w:w="1551" w:type="dxa"/>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RW-16</w:t>
            </w:r>
          </w:p>
        </w:tc>
        <w:tc>
          <w:tcPr>
            <w:tcW w:w="398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编制“高等职业学校建设标准”；研究修订《普通高等学校设置暂行条例》</w:t>
            </w:r>
          </w:p>
        </w:tc>
        <w:tc>
          <w:tcPr>
            <w:tcW w:w="1914"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教育部（规划司）</w:t>
            </w:r>
          </w:p>
        </w:tc>
        <w:tc>
          <w:tcPr>
            <w:tcW w:w="209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eastAsia="仿宋_GB2312"/>
                <w:color w:val="000000"/>
                <w:kern w:val="0"/>
                <w:sz w:val="24"/>
              </w:rPr>
              <w:t>20</w:t>
            </w:r>
            <w:r>
              <w:rPr>
                <w:rFonts w:hint="eastAsia" w:ascii="仿宋_GB2312" w:hAnsi="仿宋" w:eastAsia="仿宋_GB2312"/>
                <w:color w:val="000000"/>
                <w:kern w:val="0"/>
                <w:sz w:val="24"/>
              </w:rPr>
              <w:t>16</w:t>
            </w:r>
            <w:r>
              <w:rPr>
                <w:rFonts w:hint="eastAsia" w:ascii="仿宋_GB2312" w:hAnsi="仿宋" w:eastAsia="仿宋_GB2312" w:cs="宋体"/>
                <w:color w:val="000000"/>
                <w:kern w:val="0"/>
                <w:sz w:val="24"/>
              </w:rPr>
              <w:t>年</w:t>
            </w:r>
            <w:r>
              <w:rPr>
                <w:rFonts w:hint="eastAsia" w:ascii="仿宋_GB2312" w:eastAsia="仿宋_GB2312"/>
                <w:color w:val="000000"/>
                <w:kern w:val="0"/>
                <w:sz w:val="24"/>
              </w:rPr>
              <w:t>底前</w:t>
            </w:r>
            <w:r>
              <w:rPr>
                <w:rFonts w:hint="eastAsia" w:ascii="仿宋_GB2312" w:hAnsi="宋体" w:eastAsia="仿宋_GB2312" w:cs="宋体"/>
                <w:color w:val="000000"/>
                <w:kern w:val="0"/>
                <w:sz w:val="24"/>
              </w:rPr>
              <w:t>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705" w:hRule="atLeast"/>
          <w:jc w:val="center"/>
        </w:trPr>
        <w:tc>
          <w:tcPr>
            <w:tcW w:w="1551" w:type="dxa"/>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RW-17</w:t>
            </w:r>
          </w:p>
        </w:tc>
        <w:tc>
          <w:tcPr>
            <w:tcW w:w="398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修订一批专科高等职业教育专业教学标准和实验实训装备技术标准</w:t>
            </w:r>
          </w:p>
        </w:tc>
        <w:tc>
          <w:tcPr>
            <w:tcW w:w="1914"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教育部（职成司）、相关行业职业教育教学指导委员会</w:t>
            </w:r>
          </w:p>
        </w:tc>
        <w:tc>
          <w:tcPr>
            <w:tcW w:w="209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eastAsia="仿宋_GB2312"/>
                <w:color w:val="000000"/>
                <w:kern w:val="0"/>
                <w:sz w:val="24"/>
              </w:rPr>
              <w:t>2018</w:t>
            </w:r>
            <w:r>
              <w:rPr>
                <w:rFonts w:hint="eastAsia" w:ascii="仿宋_GB2312" w:hAnsi="宋体" w:eastAsia="仿宋_GB2312" w:cs="宋体"/>
                <w:color w:val="000000"/>
                <w:kern w:val="0"/>
                <w:sz w:val="24"/>
              </w:rPr>
              <w:t>年底前完成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705" w:hRule="atLeast"/>
          <w:jc w:val="center"/>
        </w:trPr>
        <w:tc>
          <w:tcPr>
            <w:tcW w:w="1551" w:type="dxa"/>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RW-18</w:t>
            </w:r>
          </w:p>
        </w:tc>
        <w:tc>
          <w:tcPr>
            <w:tcW w:w="398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修订“高等职业院校专业目录”和“高等职业院校专业设置管理办法”；到</w:t>
            </w:r>
            <w:r>
              <w:rPr>
                <w:rFonts w:hint="eastAsia" w:ascii="仿宋_GB2312" w:eastAsia="仿宋_GB2312"/>
                <w:color w:val="000000"/>
                <w:kern w:val="0"/>
                <w:sz w:val="24"/>
              </w:rPr>
              <w:t>2017</w:t>
            </w:r>
            <w:r>
              <w:rPr>
                <w:rFonts w:hint="eastAsia" w:ascii="仿宋_GB2312" w:hAnsi="宋体" w:eastAsia="仿宋_GB2312" w:cs="宋体"/>
                <w:color w:val="000000"/>
                <w:kern w:val="0"/>
                <w:sz w:val="24"/>
              </w:rPr>
              <w:t>年，专科职业教育在校生达到</w:t>
            </w:r>
            <w:r>
              <w:rPr>
                <w:rFonts w:hint="eastAsia" w:ascii="仿宋_GB2312" w:eastAsia="仿宋_GB2312"/>
                <w:color w:val="000000"/>
                <w:kern w:val="0"/>
                <w:sz w:val="24"/>
              </w:rPr>
              <w:t>1420</w:t>
            </w:r>
            <w:r>
              <w:rPr>
                <w:rFonts w:hint="eastAsia" w:ascii="仿宋_GB2312" w:hAnsi="宋体" w:eastAsia="仿宋_GB2312" w:cs="宋体"/>
                <w:color w:val="000000"/>
                <w:kern w:val="0"/>
                <w:sz w:val="24"/>
              </w:rPr>
              <w:t>万人</w:t>
            </w:r>
          </w:p>
        </w:tc>
        <w:tc>
          <w:tcPr>
            <w:tcW w:w="1914"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教育部（职成司、规划司）、省级</w:t>
            </w:r>
            <w:r>
              <w:rPr>
                <w:rFonts w:hint="eastAsia" w:ascii="仿宋_GB2312" w:eastAsia="仿宋_GB2312"/>
                <w:color w:val="000000"/>
                <w:kern w:val="0"/>
                <w:sz w:val="24"/>
              </w:rPr>
              <w:t>教育行政部门</w:t>
            </w:r>
          </w:p>
        </w:tc>
        <w:tc>
          <w:tcPr>
            <w:tcW w:w="209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eastAsia="仿宋_GB2312"/>
                <w:color w:val="000000"/>
                <w:kern w:val="0"/>
                <w:sz w:val="24"/>
              </w:rPr>
              <w:t>2016</w:t>
            </w:r>
            <w:r>
              <w:rPr>
                <w:rFonts w:hint="eastAsia" w:ascii="仿宋_GB2312" w:hAnsi="宋体" w:eastAsia="仿宋_GB2312" w:cs="宋体"/>
                <w:color w:val="000000"/>
                <w:kern w:val="0"/>
                <w:sz w:val="24"/>
              </w:rPr>
              <w:t>年</w:t>
            </w:r>
            <w:r>
              <w:rPr>
                <w:rFonts w:hint="eastAsia" w:ascii="仿宋_GB2312" w:eastAsia="仿宋_GB2312"/>
                <w:color w:val="000000"/>
                <w:kern w:val="0"/>
                <w:sz w:val="24"/>
              </w:rPr>
              <w:t>底前</w:t>
            </w:r>
            <w:r>
              <w:rPr>
                <w:rFonts w:hint="eastAsia" w:ascii="仿宋_GB2312" w:hAnsi="宋体" w:eastAsia="仿宋_GB2312" w:cs="宋体"/>
                <w:color w:val="000000"/>
                <w:kern w:val="0"/>
                <w:sz w:val="24"/>
              </w:rPr>
              <w:t>出台措施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705" w:hRule="atLeast"/>
          <w:jc w:val="center"/>
        </w:trPr>
        <w:tc>
          <w:tcPr>
            <w:tcW w:w="1551" w:type="dxa"/>
            <w:tcBorders>
              <w:bottom w:val="single" w:color="auto" w:sz="4" w:space="0"/>
            </w:tcBorders>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RW-19</w:t>
            </w:r>
          </w:p>
        </w:tc>
        <w:tc>
          <w:tcPr>
            <w:tcW w:w="398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落实《教育部关于深入推进职业教育集团化办学的意见》，研制“示范性职业教育集团建设方案与管理办法”</w:t>
            </w:r>
          </w:p>
        </w:tc>
        <w:tc>
          <w:tcPr>
            <w:tcW w:w="1914"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教育部（职成司）、省级教育行政部门</w:t>
            </w:r>
          </w:p>
        </w:tc>
        <w:tc>
          <w:tcPr>
            <w:tcW w:w="2093" w:type="dxa"/>
            <w:gridSpan w:val="2"/>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2016年</w:t>
            </w:r>
            <w:r>
              <w:rPr>
                <w:rFonts w:hint="eastAsia" w:ascii="仿宋_GB2312" w:hAnsi="宋体" w:eastAsia="仿宋_GB2312" w:cs="宋体"/>
                <w:color w:val="000000"/>
                <w:kern w:val="0"/>
                <w:sz w:val="24"/>
              </w:rPr>
              <w:t>底前</w:t>
            </w:r>
            <w:r>
              <w:rPr>
                <w:rFonts w:hint="eastAsia" w:ascii="仿宋_GB2312" w:eastAsia="仿宋_GB2312"/>
                <w:color w:val="000000"/>
                <w:kern w:val="0"/>
                <w:sz w:val="24"/>
              </w:rPr>
              <w:t>出台，持续推进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705" w:hRule="atLeast"/>
          <w:jc w:val="center"/>
        </w:trPr>
        <w:tc>
          <w:tcPr>
            <w:tcW w:w="1551" w:type="dxa"/>
            <w:tcBorders>
              <w:bottom w:val="single" w:color="auto" w:sz="4" w:space="0"/>
            </w:tcBorders>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RW-20</w:t>
            </w:r>
          </w:p>
        </w:tc>
        <w:tc>
          <w:tcPr>
            <w:tcW w:w="398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持续缩减本科高校举办专科高等职业教育的规模</w:t>
            </w:r>
          </w:p>
        </w:tc>
        <w:tc>
          <w:tcPr>
            <w:tcW w:w="1914"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教育部（规划司）、省级</w:t>
            </w:r>
            <w:r>
              <w:rPr>
                <w:rFonts w:hint="eastAsia" w:ascii="仿宋_GB2312" w:eastAsia="仿宋_GB2312"/>
                <w:color w:val="000000"/>
                <w:kern w:val="0"/>
                <w:sz w:val="24"/>
              </w:rPr>
              <w:t>教育行政部门</w:t>
            </w:r>
          </w:p>
        </w:tc>
        <w:tc>
          <w:tcPr>
            <w:tcW w:w="2093" w:type="dxa"/>
            <w:gridSpan w:val="2"/>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495" w:hRule="atLeast"/>
          <w:jc w:val="center"/>
        </w:trPr>
        <w:tc>
          <w:tcPr>
            <w:tcW w:w="9541" w:type="dxa"/>
            <w:gridSpan w:val="6"/>
            <w:shd w:val="clear" w:color="auto" w:fill="auto"/>
            <w:vAlign w:val="center"/>
          </w:tcPr>
          <w:p>
            <w:pPr>
              <w:widowControl/>
              <w:snapToGrid w:val="0"/>
              <w:spacing w:line="240" w:lineRule="atLeast"/>
              <w:jc w:val="center"/>
              <w:rPr>
                <w:rFonts w:ascii="黑体" w:hAnsi="黑体" w:eastAsia="黑体" w:cs="宋体"/>
                <w:color w:val="000000"/>
                <w:kern w:val="0"/>
                <w:sz w:val="24"/>
              </w:rPr>
            </w:pPr>
            <w:r>
              <w:rPr>
                <w:rFonts w:hint="eastAsia" w:ascii="黑体" w:hAnsi="黑体" w:eastAsia="黑体" w:cs="宋体"/>
                <w:color w:val="000000"/>
                <w:kern w:val="0"/>
                <w:sz w:val="24"/>
              </w:rPr>
              <w:t>二、增强院校办学活力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1230" w:hRule="atLeast"/>
          <w:jc w:val="center"/>
        </w:trPr>
        <w:tc>
          <w:tcPr>
            <w:tcW w:w="1551" w:type="dxa"/>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RW-21</w:t>
            </w:r>
          </w:p>
        </w:tc>
        <w:tc>
          <w:tcPr>
            <w:tcW w:w="398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规范落实《教育部关于积极推进高等职业教育考试招生制度改革的指导意见》；研究制订职业院校学生进入高层次学校学习的办法；</w:t>
            </w:r>
            <w:r>
              <w:rPr>
                <w:rFonts w:hint="eastAsia" w:ascii="仿宋_GB2312" w:eastAsia="仿宋_GB2312"/>
                <w:color w:val="000000"/>
                <w:kern w:val="0"/>
                <w:sz w:val="24"/>
              </w:rPr>
              <w:t>2016</w:t>
            </w:r>
            <w:r>
              <w:rPr>
                <w:rFonts w:hint="eastAsia" w:ascii="仿宋_GB2312" w:hAnsi="宋体" w:eastAsia="仿宋_GB2312" w:cs="宋体"/>
                <w:color w:val="000000"/>
                <w:kern w:val="0"/>
                <w:sz w:val="24"/>
              </w:rPr>
              <w:t>年通过分类考试录取的学生占高等职业院校招生总数的一半左右，</w:t>
            </w:r>
            <w:r>
              <w:rPr>
                <w:rFonts w:hint="eastAsia" w:ascii="仿宋_GB2312" w:eastAsia="仿宋_GB2312"/>
                <w:color w:val="000000"/>
                <w:kern w:val="0"/>
                <w:sz w:val="24"/>
              </w:rPr>
              <w:t>2017</w:t>
            </w:r>
            <w:r>
              <w:rPr>
                <w:rFonts w:hint="eastAsia" w:ascii="仿宋_GB2312" w:hAnsi="宋体" w:eastAsia="仿宋_GB2312" w:cs="宋体"/>
                <w:color w:val="000000"/>
                <w:kern w:val="0"/>
                <w:sz w:val="24"/>
              </w:rPr>
              <w:t>年成为主渠道；逐步提高专科高等职业院校招收中等职业学校毕业生的比例和本科高等学校招收职业院校毕业生的比例</w:t>
            </w:r>
          </w:p>
        </w:tc>
        <w:tc>
          <w:tcPr>
            <w:tcW w:w="1914"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教育部（学生司、规划司）、省级</w:t>
            </w:r>
            <w:r>
              <w:rPr>
                <w:rFonts w:hint="eastAsia" w:ascii="仿宋_GB2312" w:eastAsia="仿宋_GB2312"/>
                <w:color w:val="000000"/>
                <w:kern w:val="0"/>
                <w:sz w:val="24"/>
              </w:rPr>
              <w:t>教育行政部门</w:t>
            </w:r>
          </w:p>
        </w:tc>
        <w:tc>
          <w:tcPr>
            <w:tcW w:w="209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eastAsia="仿宋_GB2312"/>
                <w:color w:val="000000"/>
                <w:kern w:val="0"/>
                <w:sz w:val="24"/>
              </w:rPr>
              <w:t>2016</w:t>
            </w:r>
            <w:r>
              <w:rPr>
                <w:rFonts w:hint="eastAsia" w:ascii="仿宋_GB2312" w:hAnsi="宋体" w:eastAsia="仿宋_GB2312" w:cs="宋体"/>
                <w:color w:val="000000"/>
                <w:kern w:val="0"/>
                <w:sz w:val="24"/>
              </w:rPr>
              <w:t>年</w:t>
            </w:r>
            <w:r>
              <w:rPr>
                <w:rFonts w:hint="eastAsia" w:ascii="仿宋_GB2312" w:eastAsia="仿宋_GB2312"/>
                <w:color w:val="000000"/>
                <w:kern w:val="0"/>
                <w:sz w:val="24"/>
              </w:rPr>
              <w:t>底前</w:t>
            </w:r>
            <w:r>
              <w:rPr>
                <w:rFonts w:hint="eastAsia" w:ascii="仿宋_GB2312" w:hAnsi="宋体" w:eastAsia="仿宋_GB2312" w:cs="宋体"/>
                <w:color w:val="000000"/>
                <w:kern w:val="0"/>
                <w:sz w:val="24"/>
              </w:rPr>
              <w:t>出台措施，持续推进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48" w:hRule="atLeast"/>
          <w:jc w:val="center"/>
        </w:trPr>
        <w:tc>
          <w:tcPr>
            <w:tcW w:w="1551" w:type="dxa"/>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RW-22</w:t>
            </w:r>
          </w:p>
        </w:tc>
        <w:tc>
          <w:tcPr>
            <w:tcW w:w="3983"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研制“关于推进学习成果积累与转换工作的指导意见”</w:t>
            </w:r>
          </w:p>
        </w:tc>
        <w:tc>
          <w:tcPr>
            <w:tcW w:w="1914" w:type="dxa"/>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 xml:space="preserve">教育部(职成司) </w:t>
            </w:r>
          </w:p>
        </w:tc>
        <w:tc>
          <w:tcPr>
            <w:tcW w:w="2101" w:type="dxa"/>
            <w:gridSpan w:val="3"/>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2016年出台意见；2018年</w:t>
            </w:r>
            <w:r>
              <w:rPr>
                <w:rFonts w:hint="eastAsia" w:ascii="仿宋_GB2312" w:hAnsi="宋体" w:eastAsia="仿宋_GB2312" w:cs="宋体"/>
                <w:color w:val="000000"/>
                <w:kern w:val="0"/>
                <w:sz w:val="24"/>
              </w:rPr>
              <w:t>底前</w:t>
            </w:r>
            <w:r>
              <w:rPr>
                <w:rFonts w:hint="eastAsia" w:ascii="仿宋_GB2312" w:eastAsia="仿宋_GB2312"/>
                <w:color w:val="000000"/>
                <w:kern w:val="0"/>
                <w:sz w:val="24"/>
              </w:rPr>
              <w:t>完成网络平台建设，开展学习成果积累与转换试点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1995" w:hRule="atLeast"/>
          <w:jc w:val="center"/>
        </w:trPr>
        <w:tc>
          <w:tcPr>
            <w:tcW w:w="1551" w:type="dxa"/>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RW-23</w:t>
            </w:r>
          </w:p>
        </w:tc>
        <w:tc>
          <w:tcPr>
            <w:tcW w:w="398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试点社会力量通过购买、承租、委托管理等方式参与办学活力不足的公办高等职业院校改革。鼓励民间资本与公办优质教育资源嫁接合作，在经济欠发达地区扩大优质高等职业教育资源。鼓励探索建立行业企业办和民办高等职业院校教师年金制度，探索在营利性民办高等职业院校实行职工持上市股</w:t>
            </w:r>
          </w:p>
        </w:tc>
        <w:tc>
          <w:tcPr>
            <w:tcW w:w="1914"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省级</w:t>
            </w:r>
            <w:r>
              <w:rPr>
                <w:rFonts w:hint="eastAsia" w:ascii="仿宋_GB2312" w:eastAsia="仿宋_GB2312"/>
                <w:color w:val="000000"/>
                <w:kern w:val="0"/>
                <w:sz w:val="24"/>
              </w:rPr>
              <w:t>教育行政部门</w:t>
            </w:r>
            <w:r>
              <w:rPr>
                <w:rFonts w:hint="eastAsia" w:ascii="仿宋_GB2312" w:hAnsi="宋体" w:eastAsia="仿宋_GB2312" w:cs="宋体"/>
                <w:color w:val="000000"/>
                <w:kern w:val="0"/>
                <w:sz w:val="24"/>
              </w:rPr>
              <w:t>、相关高等职业院校</w:t>
            </w:r>
          </w:p>
        </w:tc>
        <w:tc>
          <w:tcPr>
            <w:tcW w:w="209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eastAsia="仿宋_GB2312"/>
                <w:color w:val="000000"/>
                <w:kern w:val="0"/>
                <w:sz w:val="24"/>
              </w:rPr>
              <w:t>2016</w:t>
            </w:r>
            <w:r>
              <w:rPr>
                <w:rFonts w:hint="eastAsia" w:ascii="仿宋_GB2312" w:hAnsi="宋体" w:eastAsia="仿宋_GB2312" w:cs="宋体"/>
                <w:color w:val="000000"/>
                <w:kern w:val="0"/>
                <w:sz w:val="24"/>
              </w:rPr>
              <w:t>年出台措施，持续推进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855" w:hRule="atLeast"/>
          <w:jc w:val="center"/>
        </w:trPr>
        <w:tc>
          <w:tcPr>
            <w:tcW w:w="1551" w:type="dxa"/>
            <w:tcBorders>
              <w:bottom w:val="single" w:color="auto" w:sz="4" w:space="0"/>
            </w:tcBorders>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RW-24</w:t>
            </w:r>
          </w:p>
        </w:tc>
        <w:tc>
          <w:tcPr>
            <w:tcW w:w="398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lang w:val="zh-CN"/>
              </w:rPr>
            </w:pPr>
            <w:r>
              <w:rPr>
                <w:rFonts w:hint="eastAsia" w:ascii="仿宋_GB2312" w:hAnsi="宋体" w:eastAsia="仿宋_GB2312" w:cs="宋体"/>
                <w:color w:val="000000"/>
                <w:kern w:val="0"/>
                <w:sz w:val="24"/>
              </w:rPr>
              <w:t>开展建设混合所有制高等职业院校的理论与实践课题研究</w:t>
            </w:r>
          </w:p>
        </w:tc>
        <w:tc>
          <w:tcPr>
            <w:tcW w:w="1914"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省级</w:t>
            </w:r>
            <w:r>
              <w:rPr>
                <w:rFonts w:hint="eastAsia" w:ascii="仿宋_GB2312" w:eastAsia="仿宋_GB2312"/>
                <w:color w:val="000000"/>
                <w:kern w:val="0"/>
                <w:sz w:val="24"/>
              </w:rPr>
              <w:t>教育行政部门</w:t>
            </w:r>
            <w:r>
              <w:rPr>
                <w:rFonts w:hint="eastAsia" w:ascii="仿宋_GB2312" w:hAnsi="宋体" w:eastAsia="仿宋_GB2312" w:cs="宋体"/>
                <w:color w:val="000000"/>
                <w:kern w:val="0"/>
                <w:sz w:val="24"/>
                <w:lang w:val="zh-CN"/>
              </w:rPr>
              <w:t>、相关高等职业院校</w:t>
            </w:r>
          </w:p>
        </w:tc>
        <w:tc>
          <w:tcPr>
            <w:tcW w:w="2093" w:type="dxa"/>
            <w:gridSpan w:val="2"/>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2018年</w:t>
            </w:r>
            <w:r>
              <w:rPr>
                <w:rFonts w:hint="eastAsia" w:ascii="仿宋_GB2312" w:hAnsi="宋体" w:eastAsia="仿宋_GB2312" w:cs="宋体"/>
                <w:color w:val="000000"/>
                <w:kern w:val="0"/>
                <w:sz w:val="24"/>
              </w:rPr>
              <w:t>底前</w:t>
            </w:r>
            <w:r>
              <w:rPr>
                <w:rFonts w:hint="eastAsia" w:ascii="仿宋_GB2312" w:eastAsia="仿宋_GB2312"/>
                <w:color w:val="000000"/>
                <w:kern w:val="0"/>
                <w:sz w:val="24"/>
              </w:rPr>
              <w:t>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855" w:hRule="atLeast"/>
          <w:jc w:val="center"/>
        </w:trPr>
        <w:tc>
          <w:tcPr>
            <w:tcW w:w="1551" w:type="dxa"/>
            <w:tcBorders>
              <w:bottom w:val="single" w:color="auto" w:sz="4" w:space="0"/>
            </w:tcBorders>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RW-25</w:t>
            </w:r>
          </w:p>
        </w:tc>
        <w:tc>
          <w:tcPr>
            <w:tcW w:w="398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成立混合所有制高等职业院校联盟</w:t>
            </w:r>
          </w:p>
        </w:tc>
        <w:tc>
          <w:tcPr>
            <w:tcW w:w="1914"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相关高等职业院校</w:t>
            </w:r>
          </w:p>
        </w:tc>
        <w:tc>
          <w:tcPr>
            <w:tcW w:w="2093" w:type="dxa"/>
            <w:gridSpan w:val="2"/>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2018年</w:t>
            </w:r>
            <w:r>
              <w:rPr>
                <w:rFonts w:hint="eastAsia" w:ascii="仿宋_GB2312" w:hAnsi="宋体" w:eastAsia="仿宋_GB2312" w:cs="宋体"/>
                <w:color w:val="000000"/>
                <w:kern w:val="0"/>
                <w:sz w:val="24"/>
              </w:rPr>
              <w:t>底前</w:t>
            </w:r>
            <w:r>
              <w:rPr>
                <w:rFonts w:hint="eastAsia" w:ascii="仿宋_GB2312" w:eastAsia="仿宋_GB2312"/>
                <w:color w:val="000000"/>
                <w:kern w:val="0"/>
                <w:sz w:val="24"/>
              </w:rPr>
              <w:t>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411" w:hRule="atLeast"/>
          <w:jc w:val="center"/>
        </w:trPr>
        <w:tc>
          <w:tcPr>
            <w:tcW w:w="1551" w:type="dxa"/>
            <w:tcBorders>
              <w:bottom w:val="single" w:color="auto" w:sz="4" w:space="0"/>
            </w:tcBorders>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RW-26</w:t>
            </w:r>
          </w:p>
        </w:tc>
        <w:tc>
          <w:tcPr>
            <w:tcW w:w="398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以购买服务方式支持行业职业教育教学指导委员会在规定的领域范围内自主开展工作</w:t>
            </w:r>
          </w:p>
        </w:tc>
        <w:tc>
          <w:tcPr>
            <w:tcW w:w="1914"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教育部（职成司）</w:t>
            </w:r>
          </w:p>
        </w:tc>
        <w:tc>
          <w:tcPr>
            <w:tcW w:w="2093" w:type="dxa"/>
            <w:gridSpan w:val="2"/>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1211" w:hRule="atLeast"/>
          <w:jc w:val="center"/>
        </w:trPr>
        <w:tc>
          <w:tcPr>
            <w:tcW w:w="1551" w:type="dxa"/>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RW-27</w:t>
            </w:r>
          </w:p>
        </w:tc>
        <w:tc>
          <w:tcPr>
            <w:tcW w:w="398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每年举办一次全国职业院校技能大赛，</w:t>
            </w:r>
            <w:r>
              <w:rPr>
                <w:rFonts w:hint="eastAsia" w:ascii="仿宋_GB2312" w:eastAsia="仿宋_GB2312"/>
                <w:color w:val="000000"/>
                <w:kern w:val="0"/>
                <w:sz w:val="24"/>
              </w:rPr>
              <w:t>推进全国职业院校技能大赛国际化</w:t>
            </w:r>
          </w:p>
        </w:tc>
        <w:tc>
          <w:tcPr>
            <w:tcW w:w="1914"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教育部（职成司、国际司），相关部委、行业协会、企业</w:t>
            </w:r>
          </w:p>
        </w:tc>
        <w:tc>
          <w:tcPr>
            <w:tcW w:w="209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1785" w:hRule="atLeast"/>
          <w:jc w:val="center"/>
        </w:trPr>
        <w:tc>
          <w:tcPr>
            <w:tcW w:w="1551" w:type="dxa"/>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RW-28</w:t>
            </w:r>
          </w:p>
        </w:tc>
        <w:tc>
          <w:tcPr>
            <w:tcW w:w="398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落实《教育部 人力资源社会保障部关于推进职业院校服务经济转型升级面向行业企业开展职工继续教育的意见》</w:t>
            </w:r>
          </w:p>
        </w:tc>
        <w:tc>
          <w:tcPr>
            <w:tcW w:w="1914"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教育部（职成司）</w:t>
            </w:r>
            <w:r>
              <w:rPr>
                <w:rFonts w:hint="eastAsia" w:ascii="仿宋_GB2312" w:eastAsia="仿宋_GB2312"/>
                <w:color w:val="000000"/>
                <w:kern w:val="0"/>
                <w:sz w:val="24"/>
              </w:rPr>
              <w:t>、</w:t>
            </w:r>
            <w:r>
              <w:rPr>
                <w:rFonts w:hint="eastAsia" w:ascii="仿宋_GB2312" w:hAnsi="宋体" w:eastAsia="仿宋_GB2312" w:cs="宋体"/>
                <w:color w:val="000000"/>
                <w:kern w:val="0"/>
                <w:sz w:val="24"/>
              </w:rPr>
              <w:t>省级</w:t>
            </w:r>
            <w:r>
              <w:rPr>
                <w:rFonts w:hint="eastAsia" w:ascii="仿宋_GB2312" w:eastAsia="仿宋_GB2312"/>
                <w:color w:val="000000"/>
                <w:kern w:val="0"/>
                <w:sz w:val="24"/>
              </w:rPr>
              <w:t>教育行政部门</w:t>
            </w:r>
            <w:r>
              <w:rPr>
                <w:rFonts w:hint="eastAsia" w:ascii="仿宋_GB2312" w:hAnsi="宋体" w:eastAsia="仿宋_GB2312" w:cs="宋体"/>
                <w:color w:val="000000"/>
                <w:kern w:val="0"/>
                <w:sz w:val="24"/>
              </w:rPr>
              <w:t>、高等职业院校</w:t>
            </w:r>
          </w:p>
        </w:tc>
        <w:tc>
          <w:tcPr>
            <w:tcW w:w="209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eastAsia="仿宋_GB2312"/>
                <w:color w:val="000000"/>
                <w:kern w:val="0"/>
                <w:sz w:val="24"/>
              </w:rPr>
              <w:t>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855" w:hRule="atLeast"/>
          <w:jc w:val="center"/>
        </w:trPr>
        <w:tc>
          <w:tcPr>
            <w:tcW w:w="1551" w:type="dxa"/>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RW-29</w:t>
            </w:r>
          </w:p>
        </w:tc>
        <w:tc>
          <w:tcPr>
            <w:tcW w:w="398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地方各级政府在安排职业教育专项经费、制定支持政策、购买社会服务时，将企业举办的公办性质高等职业院校与其他公办院校同等对待</w:t>
            </w:r>
          </w:p>
        </w:tc>
        <w:tc>
          <w:tcPr>
            <w:tcW w:w="1914"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省级</w:t>
            </w:r>
            <w:r>
              <w:rPr>
                <w:rFonts w:hint="eastAsia" w:ascii="仿宋_GB2312" w:eastAsia="仿宋_GB2312"/>
                <w:color w:val="000000"/>
                <w:kern w:val="0"/>
                <w:sz w:val="24"/>
              </w:rPr>
              <w:t>教育行政部门</w:t>
            </w:r>
          </w:p>
        </w:tc>
        <w:tc>
          <w:tcPr>
            <w:tcW w:w="209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701" w:hRule="atLeast"/>
          <w:jc w:val="center"/>
        </w:trPr>
        <w:tc>
          <w:tcPr>
            <w:tcW w:w="1551" w:type="dxa"/>
            <w:tcBorders>
              <w:bottom w:val="single" w:color="auto" w:sz="4" w:space="0"/>
            </w:tcBorders>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RW-30</w:t>
            </w:r>
          </w:p>
        </w:tc>
        <w:tc>
          <w:tcPr>
            <w:tcW w:w="398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研制“职业教育校企合作促进办法”</w:t>
            </w:r>
          </w:p>
        </w:tc>
        <w:tc>
          <w:tcPr>
            <w:tcW w:w="1914"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教育部（职成司、政法司）</w:t>
            </w:r>
          </w:p>
        </w:tc>
        <w:tc>
          <w:tcPr>
            <w:tcW w:w="209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eastAsia="仿宋_GB2312"/>
                <w:color w:val="000000"/>
                <w:kern w:val="0"/>
                <w:sz w:val="24"/>
              </w:rPr>
              <w:t>2016</w:t>
            </w:r>
            <w:r>
              <w:rPr>
                <w:rFonts w:hint="eastAsia" w:ascii="仿宋_GB2312" w:hAnsi="宋体" w:eastAsia="仿宋_GB2312" w:cs="宋体"/>
                <w:color w:val="000000"/>
                <w:kern w:val="0"/>
                <w:sz w:val="24"/>
              </w:rPr>
              <w:t>年出台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1425" w:hRule="atLeast"/>
          <w:jc w:val="center"/>
        </w:trPr>
        <w:tc>
          <w:tcPr>
            <w:tcW w:w="1551" w:type="dxa"/>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RW-31</w:t>
            </w:r>
          </w:p>
        </w:tc>
        <w:tc>
          <w:tcPr>
            <w:tcW w:w="398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贯彻落实国家教育体制改革领导小组办公室《关于进一步落实和扩大高校办学自主权完善高校内部治理结构的意见》，落实和扩大专科高等职业院校办学自主权，支持学校自主确定教学科研行政等内部组织机构的设置和人员配备，支持高校面向社会依法依规自主公开招聘教学科研行政管理等各类人员、自主选聘教职工、自主确定内部收入分配</w:t>
            </w:r>
          </w:p>
        </w:tc>
        <w:tc>
          <w:tcPr>
            <w:tcW w:w="1914"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省级</w:t>
            </w:r>
            <w:r>
              <w:rPr>
                <w:rFonts w:hint="eastAsia" w:ascii="仿宋_GB2312" w:eastAsia="仿宋_GB2312"/>
                <w:color w:val="000000"/>
                <w:kern w:val="0"/>
                <w:sz w:val="24"/>
              </w:rPr>
              <w:t>教育行政部门、高等职业院校</w:t>
            </w:r>
          </w:p>
        </w:tc>
        <w:tc>
          <w:tcPr>
            <w:tcW w:w="209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1425" w:hRule="atLeast"/>
          <w:jc w:val="center"/>
        </w:trPr>
        <w:tc>
          <w:tcPr>
            <w:tcW w:w="1551" w:type="dxa"/>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RW-32</w:t>
            </w:r>
          </w:p>
        </w:tc>
        <w:tc>
          <w:tcPr>
            <w:tcW w:w="398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落实教育、财税、土地、金融等支持政策，鼓励各类办学主体通过独资、合资、合作等形式举办民办高等职业教育，稳步扩大优质民办职业教育资源</w:t>
            </w:r>
          </w:p>
        </w:tc>
        <w:tc>
          <w:tcPr>
            <w:tcW w:w="1914"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教育部（规划司）、省级</w:t>
            </w:r>
            <w:r>
              <w:rPr>
                <w:rFonts w:hint="eastAsia" w:ascii="仿宋_GB2312" w:eastAsia="仿宋_GB2312"/>
                <w:color w:val="000000"/>
                <w:kern w:val="0"/>
                <w:sz w:val="24"/>
              </w:rPr>
              <w:t>教育行政部门</w:t>
            </w:r>
          </w:p>
        </w:tc>
        <w:tc>
          <w:tcPr>
            <w:tcW w:w="209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759" w:hRule="atLeast"/>
          <w:jc w:val="center"/>
        </w:trPr>
        <w:tc>
          <w:tcPr>
            <w:tcW w:w="1551" w:type="dxa"/>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RW-33</w:t>
            </w:r>
          </w:p>
        </w:tc>
        <w:tc>
          <w:tcPr>
            <w:tcW w:w="398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以政府规划、社会贡献和办学质量为依据，探索政府通过“以奖代补”、购买服务等方式支持民办高等职业教育发展和鼓励社会力量参与高等职业教育办学的办法</w:t>
            </w:r>
          </w:p>
        </w:tc>
        <w:tc>
          <w:tcPr>
            <w:tcW w:w="1914"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省级</w:t>
            </w:r>
            <w:r>
              <w:rPr>
                <w:rFonts w:hint="eastAsia" w:ascii="仿宋_GB2312" w:eastAsia="仿宋_GB2312"/>
                <w:color w:val="000000"/>
                <w:kern w:val="0"/>
                <w:sz w:val="24"/>
              </w:rPr>
              <w:t>教育行政部门</w:t>
            </w:r>
          </w:p>
        </w:tc>
        <w:tc>
          <w:tcPr>
            <w:tcW w:w="209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eastAsia="仿宋_GB2312"/>
                <w:color w:val="000000"/>
                <w:kern w:val="0"/>
                <w:sz w:val="24"/>
              </w:rPr>
              <w:t>2016</w:t>
            </w:r>
            <w:r>
              <w:rPr>
                <w:rFonts w:hint="eastAsia" w:ascii="仿宋_GB2312" w:hAnsi="宋体" w:eastAsia="仿宋_GB2312" w:cs="宋体"/>
                <w:color w:val="000000"/>
                <w:kern w:val="0"/>
                <w:sz w:val="24"/>
              </w:rPr>
              <w:t>年底前出台措施，持续推进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1146" w:hRule="atLeast"/>
          <w:jc w:val="center"/>
        </w:trPr>
        <w:tc>
          <w:tcPr>
            <w:tcW w:w="1551" w:type="dxa"/>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RW-34</w:t>
            </w:r>
          </w:p>
        </w:tc>
        <w:tc>
          <w:tcPr>
            <w:tcW w:w="398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社会声誉好、教学质量高、就业有保障的民办专科高等职业院校，可由省级政府统筹、在核定的办学规模内自主确定招生方案</w:t>
            </w:r>
          </w:p>
        </w:tc>
        <w:tc>
          <w:tcPr>
            <w:tcW w:w="1914"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教育部（规划司、学生司）、省级</w:t>
            </w:r>
            <w:r>
              <w:rPr>
                <w:rFonts w:hint="eastAsia" w:ascii="仿宋_GB2312" w:eastAsia="仿宋_GB2312"/>
                <w:color w:val="000000"/>
                <w:kern w:val="0"/>
                <w:sz w:val="24"/>
              </w:rPr>
              <w:t>教育行政部门</w:t>
            </w:r>
          </w:p>
        </w:tc>
        <w:tc>
          <w:tcPr>
            <w:tcW w:w="209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eastAsia="仿宋_GB2312"/>
                <w:color w:val="000000"/>
                <w:kern w:val="0"/>
                <w:sz w:val="24"/>
              </w:rPr>
              <w:t>2016</w:t>
            </w:r>
            <w:r>
              <w:rPr>
                <w:rFonts w:hint="eastAsia" w:ascii="仿宋_GB2312" w:hAnsi="宋体" w:eastAsia="仿宋_GB2312" w:cs="宋体"/>
                <w:color w:val="000000"/>
                <w:kern w:val="0"/>
                <w:sz w:val="24"/>
              </w:rPr>
              <w:t>年底前出台措施，持续推进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1024" w:hRule="atLeast"/>
          <w:jc w:val="center"/>
        </w:trPr>
        <w:tc>
          <w:tcPr>
            <w:tcW w:w="1551" w:type="dxa"/>
            <w:tcBorders>
              <w:bottom w:val="single" w:color="auto" w:sz="4" w:space="0"/>
            </w:tcBorders>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RW-35</w:t>
            </w:r>
          </w:p>
        </w:tc>
        <w:tc>
          <w:tcPr>
            <w:tcW w:w="3983" w:type="dxa"/>
            <w:gridSpan w:val="2"/>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专科高等职业院校积极开展社区教育、老年教育活动；建立专科高等职业院校和社区教育机构联席会议制度</w:t>
            </w:r>
          </w:p>
        </w:tc>
        <w:tc>
          <w:tcPr>
            <w:tcW w:w="1914" w:type="dxa"/>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省级教育行政部门、高等职业院校</w:t>
            </w:r>
          </w:p>
        </w:tc>
        <w:tc>
          <w:tcPr>
            <w:tcW w:w="2093" w:type="dxa"/>
            <w:gridSpan w:val="2"/>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2016年底前出台措施，持续推进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641" w:hRule="atLeast"/>
          <w:jc w:val="center"/>
        </w:trPr>
        <w:tc>
          <w:tcPr>
            <w:tcW w:w="9541" w:type="dxa"/>
            <w:gridSpan w:val="6"/>
            <w:shd w:val="clear" w:color="auto" w:fill="auto"/>
            <w:vAlign w:val="center"/>
          </w:tcPr>
          <w:p>
            <w:pPr>
              <w:widowControl/>
              <w:snapToGrid w:val="0"/>
              <w:spacing w:line="240" w:lineRule="atLeast"/>
              <w:jc w:val="center"/>
              <w:rPr>
                <w:rFonts w:ascii="黑体" w:hAnsi="黑体" w:eastAsia="黑体" w:cs="宋体"/>
                <w:color w:val="000000"/>
                <w:kern w:val="0"/>
                <w:sz w:val="24"/>
              </w:rPr>
            </w:pPr>
            <w:r>
              <w:rPr>
                <w:rFonts w:hint="eastAsia" w:ascii="黑体" w:hAnsi="黑体" w:eastAsia="黑体" w:cs="宋体"/>
                <w:color w:val="000000"/>
                <w:kern w:val="0"/>
                <w:sz w:val="24"/>
              </w:rPr>
              <w:t>三、加强技术技能积累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1106" w:hRule="atLeast"/>
          <w:jc w:val="center"/>
        </w:trPr>
        <w:tc>
          <w:tcPr>
            <w:tcW w:w="1551" w:type="dxa"/>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RW-36</w:t>
            </w:r>
          </w:p>
        </w:tc>
        <w:tc>
          <w:tcPr>
            <w:tcW w:w="398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优化院校布局、调整专业结构，支持新兴产业、现代服务业和社会建设管理所需专业的发展</w:t>
            </w:r>
          </w:p>
        </w:tc>
        <w:tc>
          <w:tcPr>
            <w:tcW w:w="1914"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省级</w:t>
            </w:r>
            <w:r>
              <w:rPr>
                <w:rFonts w:hint="eastAsia" w:ascii="仿宋_GB2312" w:eastAsia="仿宋_GB2312"/>
                <w:color w:val="000000"/>
                <w:kern w:val="0"/>
                <w:sz w:val="24"/>
              </w:rPr>
              <w:t>教育行政部门</w:t>
            </w:r>
          </w:p>
        </w:tc>
        <w:tc>
          <w:tcPr>
            <w:tcW w:w="209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eastAsia="仿宋_GB2312"/>
                <w:color w:val="000000"/>
                <w:kern w:val="0"/>
                <w:sz w:val="24"/>
              </w:rPr>
              <w:t>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852" w:hRule="atLeast"/>
          <w:jc w:val="center"/>
        </w:trPr>
        <w:tc>
          <w:tcPr>
            <w:tcW w:w="1551" w:type="dxa"/>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RW-37</w:t>
            </w:r>
          </w:p>
        </w:tc>
        <w:tc>
          <w:tcPr>
            <w:tcW w:w="398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支持新兴产业发展，加强现代服务业亟需人才培养，加快满足社会建设和社会管理人才需求</w:t>
            </w:r>
          </w:p>
        </w:tc>
        <w:tc>
          <w:tcPr>
            <w:tcW w:w="1914"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省级</w:t>
            </w:r>
            <w:r>
              <w:rPr>
                <w:rFonts w:hint="eastAsia" w:ascii="仿宋_GB2312" w:eastAsia="仿宋_GB2312"/>
                <w:color w:val="000000"/>
                <w:kern w:val="0"/>
                <w:sz w:val="24"/>
              </w:rPr>
              <w:t>教育行政部门</w:t>
            </w:r>
            <w:r>
              <w:rPr>
                <w:rFonts w:hint="eastAsia" w:ascii="仿宋_GB2312" w:hAnsi="宋体" w:eastAsia="仿宋_GB2312" w:cs="宋体"/>
                <w:color w:val="000000"/>
                <w:kern w:val="0"/>
                <w:sz w:val="24"/>
              </w:rPr>
              <w:t>、高等职业院校</w:t>
            </w:r>
          </w:p>
        </w:tc>
        <w:tc>
          <w:tcPr>
            <w:tcW w:w="2093" w:type="dxa"/>
            <w:gridSpan w:val="2"/>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852" w:hRule="atLeast"/>
          <w:jc w:val="center"/>
        </w:trPr>
        <w:tc>
          <w:tcPr>
            <w:tcW w:w="1551" w:type="dxa"/>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RW-38</w:t>
            </w:r>
          </w:p>
        </w:tc>
        <w:tc>
          <w:tcPr>
            <w:tcW w:w="398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重点服务中国制造2025，优先保证新一代信息技术产业、高档数控机床和机器人、航空航天装备、海洋工程装备及高技术船舶、先进轨道交通装备、节能与新能源汽车、电力装备、农机装备、新材料、生物医药及高性能医疗器械产业相关专业的布局与发展</w:t>
            </w:r>
          </w:p>
        </w:tc>
        <w:tc>
          <w:tcPr>
            <w:tcW w:w="1914"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省级</w:t>
            </w:r>
            <w:r>
              <w:rPr>
                <w:rFonts w:hint="eastAsia" w:ascii="仿宋_GB2312" w:eastAsia="仿宋_GB2312"/>
                <w:color w:val="000000"/>
                <w:kern w:val="0"/>
                <w:sz w:val="24"/>
              </w:rPr>
              <w:t>教育行政部门</w:t>
            </w:r>
            <w:r>
              <w:rPr>
                <w:rFonts w:hint="eastAsia" w:ascii="仿宋_GB2312" w:hAnsi="宋体" w:eastAsia="仿宋_GB2312" w:cs="宋体"/>
                <w:color w:val="000000"/>
                <w:kern w:val="0"/>
                <w:sz w:val="24"/>
              </w:rPr>
              <w:t>、高等职业院校</w:t>
            </w:r>
          </w:p>
        </w:tc>
        <w:tc>
          <w:tcPr>
            <w:tcW w:w="2093" w:type="dxa"/>
            <w:gridSpan w:val="2"/>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852" w:hRule="atLeast"/>
          <w:jc w:val="center"/>
        </w:trPr>
        <w:tc>
          <w:tcPr>
            <w:tcW w:w="1551" w:type="dxa"/>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RW-39</w:t>
            </w:r>
          </w:p>
        </w:tc>
        <w:tc>
          <w:tcPr>
            <w:tcW w:w="398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建立产业结构调整驱动专业设置与改革、产业技术进步驱动课程改革的机制</w:t>
            </w:r>
          </w:p>
        </w:tc>
        <w:tc>
          <w:tcPr>
            <w:tcW w:w="1914"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省级</w:t>
            </w:r>
            <w:r>
              <w:rPr>
                <w:rFonts w:hint="eastAsia" w:ascii="仿宋_GB2312" w:eastAsia="仿宋_GB2312"/>
                <w:color w:val="000000"/>
                <w:kern w:val="0"/>
                <w:sz w:val="24"/>
              </w:rPr>
              <w:t>教育行政部门</w:t>
            </w:r>
            <w:r>
              <w:rPr>
                <w:rFonts w:hint="eastAsia" w:ascii="仿宋_GB2312" w:hAnsi="宋体" w:eastAsia="仿宋_GB2312" w:cs="宋体"/>
                <w:color w:val="000000"/>
                <w:kern w:val="0"/>
                <w:sz w:val="24"/>
              </w:rPr>
              <w:t>、高等职业院校</w:t>
            </w:r>
          </w:p>
        </w:tc>
        <w:tc>
          <w:tcPr>
            <w:tcW w:w="2093" w:type="dxa"/>
            <w:gridSpan w:val="2"/>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1155" w:hRule="atLeast"/>
          <w:jc w:val="center"/>
        </w:trPr>
        <w:tc>
          <w:tcPr>
            <w:tcW w:w="1551" w:type="dxa"/>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RW-40</w:t>
            </w:r>
          </w:p>
        </w:tc>
        <w:tc>
          <w:tcPr>
            <w:tcW w:w="398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lang w:val="zh-CN"/>
              </w:rPr>
            </w:pPr>
            <w:r>
              <w:rPr>
                <w:rFonts w:hint="eastAsia" w:ascii="仿宋_GB2312" w:hAnsi="宋体" w:eastAsia="仿宋_GB2312" w:cs="宋体"/>
                <w:color w:val="000000"/>
                <w:kern w:val="0"/>
                <w:sz w:val="24"/>
              </w:rPr>
              <w:t>鼓励有条件的专科高等职业院校积极与军队合作，为现役士兵开展培训，为技术兵种定向培养直招士官</w:t>
            </w:r>
          </w:p>
        </w:tc>
        <w:tc>
          <w:tcPr>
            <w:tcW w:w="1914"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教育部（职成司、学生司）、有关高等职业院校</w:t>
            </w:r>
          </w:p>
        </w:tc>
        <w:tc>
          <w:tcPr>
            <w:tcW w:w="209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eastAsia="仿宋_GB2312"/>
                <w:color w:val="000000"/>
                <w:kern w:val="0"/>
                <w:sz w:val="24"/>
              </w:rPr>
              <w:t>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1995" w:hRule="atLeast"/>
          <w:jc w:val="center"/>
        </w:trPr>
        <w:tc>
          <w:tcPr>
            <w:tcW w:w="1551" w:type="dxa"/>
            <w:tcBorders>
              <w:bottom w:val="single" w:color="auto" w:sz="4" w:space="0"/>
            </w:tcBorders>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RW-41</w:t>
            </w:r>
          </w:p>
        </w:tc>
        <w:tc>
          <w:tcPr>
            <w:tcW w:w="3983" w:type="dxa"/>
            <w:gridSpan w:val="2"/>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扩大与“一带一路”沿线国家的职业教育合作；服务“走出去”企业需求，培养具有国际视野、通晓国际规则的技术技能人才和中国企业海外生产经营需要的本土人才；配合“走出去”企业面向当地员工开展技术技能培训和学历职业教育；支持专科高等职业院校国（境）外办学，为周边国家培养熟悉中华传统文化、当地经济发展亟需的技术技能人才</w:t>
            </w:r>
          </w:p>
        </w:tc>
        <w:tc>
          <w:tcPr>
            <w:tcW w:w="1914" w:type="dxa"/>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省级教育行政部门、高等职业院校</w:t>
            </w:r>
          </w:p>
        </w:tc>
        <w:tc>
          <w:tcPr>
            <w:tcW w:w="2093" w:type="dxa"/>
            <w:gridSpan w:val="2"/>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764" w:hRule="atLeast"/>
          <w:jc w:val="center"/>
        </w:trPr>
        <w:tc>
          <w:tcPr>
            <w:tcW w:w="1551" w:type="dxa"/>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RW-42</w:t>
            </w:r>
          </w:p>
        </w:tc>
        <w:tc>
          <w:tcPr>
            <w:tcW w:w="398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促进专业教育与创新创业教育有机融合；利用各种资源建设大学科技园、大学生创业园、创业孵化基地和小微企业创业基地，作为创业教育实践平台</w:t>
            </w:r>
          </w:p>
        </w:tc>
        <w:tc>
          <w:tcPr>
            <w:tcW w:w="1914"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省级</w:t>
            </w:r>
            <w:r>
              <w:rPr>
                <w:rFonts w:hint="eastAsia" w:ascii="仿宋_GB2312" w:eastAsia="仿宋_GB2312"/>
                <w:color w:val="000000"/>
                <w:kern w:val="0"/>
                <w:sz w:val="24"/>
              </w:rPr>
              <w:t>教育行政部门</w:t>
            </w:r>
            <w:r>
              <w:rPr>
                <w:rFonts w:hint="eastAsia" w:ascii="仿宋_GB2312" w:hAnsi="宋体" w:eastAsia="仿宋_GB2312" w:cs="宋体"/>
                <w:color w:val="000000"/>
                <w:kern w:val="0"/>
                <w:sz w:val="24"/>
              </w:rPr>
              <w:t>、高等职业院校</w:t>
            </w:r>
          </w:p>
        </w:tc>
        <w:tc>
          <w:tcPr>
            <w:tcW w:w="2093" w:type="dxa"/>
            <w:gridSpan w:val="2"/>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1687" w:hRule="atLeast"/>
          <w:jc w:val="center"/>
        </w:trPr>
        <w:tc>
          <w:tcPr>
            <w:tcW w:w="1551" w:type="dxa"/>
            <w:tcBorders>
              <w:bottom w:val="single" w:color="auto" w:sz="4" w:space="0"/>
            </w:tcBorders>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RW-43</w:t>
            </w:r>
          </w:p>
        </w:tc>
        <w:tc>
          <w:tcPr>
            <w:tcW w:w="398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探索将学生完成的创新实验、论文发表、专利获取、自主创业等成果折算为学分，将学生参与课题研究、项目实验等活动认定为课堂学习；优先支持参与创新创业的学生转入相关专业学习；实施弹性学制，放宽学生修业年限，允许调整学业进程、保留学籍休学创新创业</w:t>
            </w:r>
          </w:p>
        </w:tc>
        <w:tc>
          <w:tcPr>
            <w:tcW w:w="1914"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省级</w:t>
            </w:r>
            <w:r>
              <w:rPr>
                <w:rFonts w:hint="eastAsia" w:ascii="仿宋_GB2312" w:eastAsia="仿宋_GB2312"/>
                <w:color w:val="000000"/>
                <w:kern w:val="0"/>
                <w:sz w:val="24"/>
              </w:rPr>
              <w:t>教育行政部门</w:t>
            </w:r>
            <w:r>
              <w:rPr>
                <w:rFonts w:hint="eastAsia" w:ascii="仿宋_GB2312" w:hAnsi="宋体" w:eastAsia="仿宋_GB2312" w:cs="宋体"/>
                <w:color w:val="000000"/>
                <w:kern w:val="0"/>
                <w:sz w:val="24"/>
              </w:rPr>
              <w:t>、高等职业院校</w:t>
            </w:r>
          </w:p>
        </w:tc>
        <w:tc>
          <w:tcPr>
            <w:tcW w:w="2093" w:type="dxa"/>
            <w:gridSpan w:val="2"/>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1687" w:hRule="atLeast"/>
          <w:jc w:val="center"/>
        </w:trPr>
        <w:tc>
          <w:tcPr>
            <w:tcW w:w="1551" w:type="dxa"/>
            <w:tcBorders>
              <w:bottom w:val="single" w:color="auto" w:sz="4" w:space="0"/>
            </w:tcBorders>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RW-44</w:t>
            </w:r>
          </w:p>
        </w:tc>
        <w:tc>
          <w:tcPr>
            <w:tcW w:w="398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地区、有关部门整合发展财政和社会资金，支持高校学生创新创业活动。高等职业院校优化经费支出结构，多渠道统筹安排资金，支持创新创业教育教学，资助学生创新创业项目</w:t>
            </w:r>
          </w:p>
        </w:tc>
        <w:tc>
          <w:tcPr>
            <w:tcW w:w="1914"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省级</w:t>
            </w:r>
            <w:r>
              <w:rPr>
                <w:rFonts w:hint="eastAsia" w:ascii="仿宋_GB2312" w:eastAsia="仿宋_GB2312"/>
                <w:color w:val="000000"/>
                <w:kern w:val="0"/>
                <w:sz w:val="24"/>
              </w:rPr>
              <w:t>教育行政部门</w:t>
            </w:r>
            <w:r>
              <w:rPr>
                <w:rFonts w:hint="eastAsia" w:ascii="仿宋_GB2312" w:hAnsi="宋体" w:eastAsia="仿宋_GB2312" w:cs="宋体"/>
                <w:color w:val="000000"/>
                <w:kern w:val="0"/>
                <w:sz w:val="24"/>
              </w:rPr>
              <w:t>、高等职业院校</w:t>
            </w:r>
          </w:p>
        </w:tc>
        <w:tc>
          <w:tcPr>
            <w:tcW w:w="2093" w:type="dxa"/>
            <w:gridSpan w:val="2"/>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1344" w:hRule="atLeast"/>
          <w:jc w:val="center"/>
        </w:trPr>
        <w:tc>
          <w:tcPr>
            <w:tcW w:w="1551" w:type="dxa"/>
            <w:tcBorders>
              <w:bottom w:val="single" w:color="auto" w:sz="4" w:space="0"/>
            </w:tcBorders>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RW-45</w:t>
            </w:r>
          </w:p>
        </w:tc>
        <w:tc>
          <w:tcPr>
            <w:tcW w:w="398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举办全国大学生创新创业大赛</w:t>
            </w:r>
          </w:p>
        </w:tc>
        <w:tc>
          <w:tcPr>
            <w:tcW w:w="1914"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教育部（高教司、职成司）</w:t>
            </w:r>
          </w:p>
        </w:tc>
        <w:tc>
          <w:tcPr>
            <w:tcW w:w="2093" w:type="dxa"/>
            <w:gridSpan w:val="2"/>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2016年底前启动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1710" w:hRule="atLeast"/>
          <w:jc w:val="center"/>
        </w:trPr>
        <w:tc>
          <w:tcPr>
            <w:tcW w:w="1551" w:type="dxa"/>
            <w:tcBorders>
              <w:bottom w:val="single" w:color="auto" w:sz="4" w:space="0"/>
            </w:tcBorders>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RW-46</w:t>
            </w:r>
          </w:p>
        </w:tc>
        <w:tc>
          <w:tcPr>
            <w:tcW w:w="3983" w:type="dxa"/>
            <w:gridSpan w:val="2"/>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加强文化创意、影视制作、出版发行等重点文化产业技术技能人才的培养；提升民族地区的高等职业院校支持当地特色优势产业、基本公共服务、社会管理的能力</w:t>
            </w:r>
          </w:p>
        </w:tc>
        <w:tc>
          <w:tcPr>
            <w:tcW w:w="1914"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省级</w:t>
            </w:r>
            <w:r>
              <w:rPr>
                <w:rFonts w:hint="eastAsia" w:ascii="仿宋_GB2312" w:eastAsia="仿宋_GB2312"/>
                <w:color w:val="000000"/>
                <w:kern w:val="0"/>
                <w:sz w:val="24"/>
              </w:rPr>
              <w:t>教育行政部门</w:t>
            </w:r>
          </w:p>
        </w:tc>
        <w:tc>
          <w:tcPr>
            <w:tcW w:w="2093" w:type="dxa"/>
            <w:gridSpan w:val="2"/>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1456" w:hRule="atLeast"/>
          <w:jc w:val="center"/>
        </w:trPr>
        <w:tc>
          <w:tcPr>
            <w:tcW w:w="1551" w:type="dxa"/>
            <w:shd w:val="clear" w:color="auto" w:fill="auto"/>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RW-47</w:t>
            </w:r>
          </w:p>
        </w:tc>
        <w:tc>
          <w:tcPr>
            <w:tcW w:w="3983" w:type="dxa"/>
            <w:gridSpan w:val="2"/>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加强与职业教育发达国家的政策对话，探索对发展中国家开展职业教育援助的渠道和政策</w:t>
            </w:r>
          </w:p>
        </w:tc>
        <w:tc>
          <w:tcPr>
            <w:tcW w:w="1914" w:type="dxa"/>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教育部（国际司、职成司）、省级教育行政部门、高等职业院校</w:t>
            </w:r>
          </w:p>
        </w:tc>
        <w:tc>
          <w:tcPr>
            <w:tcW w:w="2093" w:type="dxa"/>
            <w:gridSpan w:val="2"/>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4" w:hRule="atLeast"/>
          <w:jc w:val="center"/>
        </w:trPr>
        <w:tc>
          <w:tcPr>
            <w:tcW w:w="1551" w:type="dxa"/>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RW-48</w:t>
            </w:r>
          </w:p>
        </w:tc>
        <w:tc>
          <w:tcPr>
            <w:tcW w:w="3983"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鼓励示范性和沿边地区高等职业院校利用学校品牌和专业优势，积极吸引境外学生来华学习</w:t>
            </w:r>
          </w:p>
        </w:tc>
        <w:tc>
          <w:tcPr>
            <w:tcW w:w="1914" w:type="dxa"/>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省级教育行政部门、高等职业院校</w:t>
            </w:r>
          </w:p>
        </w:tc>
        <w:tc>
          <w:tcPr>
            <w:tcW w:w="2101" w:type="dxa"/>
            <w:gridSpan w:val="3"/>
            <w:tcBorders>
              <w:top w:val="single" w:color="auto" w:sz="4" w:space="0"/>
              <w:left w:val="single" w:color="auto" w:sz="4" w:space="0"/>
              <w:bottom w:val="single" w:color="auto" w:sz="4" w:space="0"/>
              <w:right w:val="single" w:color="auto" w:sz="4" w:space="0"/>
            </w:tcBorders>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489" w:hRule="atLeast"/>
          <w:jc w:val="center"/>
        </w:trPr>
        <w:tc>
          <w:tcPr>
            <w:tcW w:w="9541" w:type="dxa"/>
            <w:gridSpan w:val="6"/>
            <w:vAlign w:val="center"/>
          </w:tcPr>
          <w:p>
            <w:pPr>
              <w:widowControl/>
              <w:snapToGrid w:val="0"/>
              <w:spacing w:line="240" w:lineRule="atLeast"/>
              <w:jc w:val="center"/>
              <w:rPr>
                <w:rFonts w:ascii="黑体" w:hAnsi="黑体" w:eastAsia="黑体" w:cs="宋体"/>
                <w:color w:val="000000"/>
                <w:kern w:val="0"/>
                <w:sz w:val="24"/>
              </w:rPr>
            </w:pPr>
            <w:r>
              <w:rPr>
                <w:rFonts w:hint="eastAsia" w:ascii="黑体" w:hAnsi="黑体" w:eastAsia="黑体" w:cs="宋体"/>
                <w:color w:val="000000"/>
                <w:kern w:val="0"/>
                <w:sz w:val="24"/>
              </w:rPr>
              <w:t>四、完善质量保障机制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1629" w:hRule="atLeast"/>
          <w:jc w:val="center"/>
        </w:trPr>
        <w:tc>
          <w:tcPr>
            <w:tcW w:w="1551" w:type="dxa"/>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RW-49</w:t>
            </w:r>
          </w:p>
        </w:tc>
        <w:tc>
          <w:tcPr>
            <w:tcW w:w="3983" w:type="dxa"/>
            <w:gridSpan w:val="2"/>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落实高等职业院校生均拨款政策，引导激励地市级政府（单位）建立高职生均经费制度。到2017年本省专科高等职业院校生均拨款平均水平不低于</w:t>
            </w:r>
            <w:r>
              <w:rPr>
                <w:rFonts w:hint="eastAsia" w:ascii="仿宋_GB2312" w:eastAsia="仿宋_GB2312"/>
                <w:color w:val="000000"/>
                <w:kern w:val="0"/>
                <w:sz w:val="24"/>
              </w:rPr>
              <w:t>12000</w:t>
            </w:r>
            <w:r>
              <w:rPr>
                <w:rFonts w:hint="eastAsia" w:ascii="仿宋_GB2312" w:hAnsi="宋体" w:eastAsia="仿宋_GB2312" w:cs="宋体"/>
                <w:color w:val="000000"/>
                <w:kern w:val="0"/>
                <w:sz w:val="24"/>
              </w:rPr>
              <w:t>元</w:t>
            </w:r>
          </w:p>
        </w:tc>
        <w:tc>
          <w:tcPr>
            <w:tcW w:w="1914" w:type="dxa"/>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省级</w:t>
            </w:r>
            <w:r>
              <w:rPr>
                <w:rFonts w:hint="eastAsia" w:ascii="仿宋_GB2312" w:eastAsia="仿宋_GB2312"/>
                <w:color w:val="000000"/>
                <w:kern w:val="0"/>
                <w:sz w:val="24"/>
              </w:rPr>
              <w:t>教育行政部门</w:t>
            </w:r>
          </w:p>
        </w:tc>
        <w:tc>
          <w:tcPr>
            <w:tcW w:w="2093" w:type="dxa"/>
            <w:gridSpan w:val="2"/>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2017年达到标准，持续推进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570" w:hRule="atLeast"/>
          <w:jc w:val="center"/>
        </w:trPr>
        <w:tc>
          <w:tcPr>
            <w:tcW w:w="1551" w:type="dxa"/>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RW-50</w:t>
            </w:r>
          </w:p>
        </w:tc>
        <w:tc>
          <w:tcPr>
            <w:tcW w:w="3983" w:type="dxa"/>
            <w:gridSpan w:val="2"/>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eastAsia="仿宋_GB2312"/>
                <w:color w:val="000000"/>
                <w:kern w:val="0"/>
                <w:sz w:val="24"/>
              </w:rPr>
              <w:t>完成高等职业院校章程制定、修订工作</w:t>
            </w:r>
          </w:p>
        </w:tc>
        <w:tc>
          <w:tcPr>
            <w:tcW w:w="1914" w:type="dxa"/>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eastAsia="仿宋_GB2312"/>
                <w:color w:val="000000"/>
                <w:kern w:val="0"/>
                <w:sz w:val="24"/>
              </w:rPr>
              <w:t>省级教育行政部门、高等职业院校</w:t>
            </w:r>
          </w:p>
        </w:tc>
        <w:tc>
          <w:tcPr>
            <w:tcW w:w="2093" w:type="dxa"/>
            <w:gridSpan w:val="2"/>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eastAsia="仿宋_GB2312"/>
                <w:color w:val="000000"/>
                <w:kern w:val="0"/>
                <w:sz w:val="24"/>
              </w:rPr>
              <w:t>2015年底前完成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1710" w:hRule="atLeast"/>
          <w:jc w:val="center"/>
        </w:trPr>
        <w:tc>
          <w:tcPr>
            <w:tcW w:w="1551" w:type="dxa"/>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RW-51</w:t>
            </w:r>
          </w:p>
        </w:tc>
        <w:tc>
          <w:tcPr>
            <w:tcW w:w="3983" w:type="dxa"/>
            <w:gridSpan w:val="2"/>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推动高等职业院校参照《高等学校学术委员会规程》设立学术委员会；一批（不少于20%）专科高等职业院校参照《普通高等学校理事会规程（试行）》设立理事会或董事会机构</w:t>
            </w:r>
          </w:p>
        </w:tc>
        <w:tc>
          <w:tcPr>
            <w:tcW w:w="1914" w:type="dxa"/>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省级教育行政部门、高等职业院校</w:t>
            </w:r>
          </w:p>
        </w:tc>
        <w:tc>
          <w:tcPr>
            <w:tcW w:w="2093" w:type="dxa"/>
            <w:gridSpan w:val="2"/>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2016年底前出台措施，持续推进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570" w:hRule="atLeast"/>
          <w:jc w:val="center"/>
        </w:trPr>
        <w:tc>
          <w:tcPr>
            <w:tcW w:w="1551" w:type="dxa"/>
            <w:tcBorders>
              <w:bottom w:val="single" w:color="auto" w:sz="4" w:space="0"/>
            </w:tcBorders>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RW-52</w:t>
            </w:r>
          </w:p>
        </w:tc>
        <w:tc>
          <w:tcPr>
            <w:tcW w:w="3983" w:type="dxa"/>
            <w:gridSpan w:val="2"/>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巩固学校、省和国家三级高等职业教育质量年度报告制度，进一步提高年度质量报告的量化程度、可比性和可读性；强化对报告发布情况和撰写质量的监督管理</w:t>
            </w:r>
          </w:p>
        </w:tc>
        <w:tc>
          <w:tcPr>
            <w:tcW w:w="1914" w:type="dxa"/>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教育部（职成司）、省级教育行政部门、高等职业院校</w:t>
            </w:r>
          </w:p>
        </w:tc>
        <w:tc>
          <w:tcPr>
            <w:tcW w:w="2093" w:type="dxa"/>
            <w:gridSpan w:val="2"/>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570" w:hRule="atLeast"/>
          <w:jc w:val="center"/>
        </w:trPr>
        <w:tc>
          <w:tcPr>
            <w:tcW w:w="1551" w:type="dxa"/>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RW-53</w:t>
            </w:r>
          </w:p>
        </w:tc>
        <w:tc>
          <w:tcPr>
            <w:tcW w:w="3983" w:type="dxa"/>
            <w:gridSpan w:val="2"/>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eastAsia="仿宋_GB2312"/>
                <w:color w:val="000000"/>
                <w:kern w:val="0"/>
                <w:sz w:val="24"/>
              </w:rPr>
              <w:t>加强分类指导，以人才培养工作状态数据为基础，开展高职院校教学诊断和改进工作</w:t>
            </w:r>
          </w:p>
        </w:tc>
        <w:tc>
          <w:tcPr>
            <w:tcW w:w="1914" w:type="dxa"/>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eastAsia="仿宋_GB2312"/>
                <w:color w:val="000000"/>
                <w:kern w:val="0"/>
                <w:sz w:val="24"/>
              </w:rPr>
              <w:t>教育部（职成司）、省级教育行政部门、高等职业院校</w:t>
            </w:r>
          </w:p>
        </w:tc>
        <w:tc>
          <w:tcPr>
            <w:tcW w:w="2093" w:type="dxa"/>
            <w:gridSpan w:val="2"/>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2016年启动相关工作，持续推进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570" w:hRule="atLeast"/>
          <w:jc w:val="center"/>
        </w:trPr>
        <w:tc>
          <w:tcPr>
            <w:tcW w:w="1551" w:type="dxa"/>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RW-54</w:t>
            </w:r>
          </w:p>
        </w:tc>
        <w:tc>
          <w:tcPr>
            <w:tcW w:w="3983" w:type="dxa"/>
            <w:gridSpan w:val="2"/>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一批省份发布实施职业院校教师专业技术职务评聘办法</w:t>
            </w:r>
          </w:p>
        </w:tc>
        <w:tc>
          <w:tcPr>
            <w:tcW w:w="1914" w:type="dxa"/>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省级</w:t>
            </w:r>
            <w:r>
              <w:rPr>
                <w:rFonts w:hint="eastAsia" w:ascii="仿宋_GB2312" w:eastAsia="仿宋_GB2312"/>
                <w:color w:val="000000"/>
                <w:kern w:val="0"/>
                <w:sz w:val="24"/>
              </w:rPr>
              <w:t>教育行政部门</w:t>
            </w:r>
          </w:p>
        </w:tc>
        <w:tc>
          <w:tcPr>
            <w:tcW w:w="2093" w:type="dxa"/>
            <w:gridSpan w:val="2"/>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eastAsia="仿宋_GB2312"/>
                <w:color w:val="000000"/>
                <w:kern w:val="0"/>
                <w:sz w:val="24"/>
              </w:rPr>
              <w:t>2018</w:t>
            </w:r>
            <w:r>
              <w:rPr>
                <w:rFonts w:hint="eastAsia" w:ascii="仿宋_GB2312" w:hAnsi="宋体" w:eastAsia="仿宋_GB2312" w:cs="宋体"/>
                <w:color w:val="000000"/>
                <w:kern w:val="0"/>
                <w:sz w:val="24"/>
              </w:rPr>
              <w:t>年底前完成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855" w:hRule="atLeast"/>
          <w:jc w:val="center"/>
        </w:trPr>
        <w:tc>
          <w:tcPr>
            <w:tcW w:w="1551" w:type="dxa"/>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RW-55</w:t>
            </w:r>
          </w:p>
        </w:tc>
        <w:tc>
          <w:tcPr>
            <w:tcW w:w="3983" w:type="dxa"/>
            <w:gridSpan w:val="2"/>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一批国家示范（骨干）高等职业院校制定执行反映自身发展水平、不低于国家规定标准的“双师型”教师标准</w:t>
            </w:r>
          </w:p>
        </w:tc>
        <w:tc>
          <w:tcPr>
            <w:tcW w:w="1914" w:type="dxa"/>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eastAsia="仿宋_GB2312"/>
                <w:color w:val="000000"/>
                <w:kern w:val="0"/>
                <w:sz w:val="24"/>
              </w:rPr>
              <w:t>省级教育行政部门、</w:t>
            </w:r>
            <w:r>
              <w:rPr>
                <w:rFonts w:hint="eastAsia" w:ascii="仿宋_GB2312" w:hAnsi="宋体" w:eastAsia="仿宋_GB2312" w:cs="宋体"/>
                <w:color w:val="000000"/>
                <w:kern w:val="0"/>
                <w:sz w:val="24"/>
              </w:rPr>
              <w:t>高等职业院校</w:t>
            </w:r>
          </w:p>
        </w:tc>
        <w:tc>
          <w:tcPr>
            <w:tcW w:w="2093" w:type="dxa"/>
            <w:gridSpan w:val="2"/>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eastAsia="仿宋_GB2312"/>
                <w:color w:val="000000"/>
                <w:kern w:val="0"/>
                <w:sz w:val="24"/>
              </w:rPr>
              <w:t>2018</w:t>
            </w:r>
            <w:r>
              <w:rPr>
                <w:rFonts w:hint="eastAsia" w:ascii="仿宋_GB2312" w:hAnsi="宋体" w:eastAsia="仿宋_GB2312" w:cs="宋体"/>
                <w:color w:val="000000"/>
                <w:kern w:val="0"/>
                <w:sz w:val="24"/>
              </w:rPr>
              <w:t>年底前完成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1066" w:hRule="atLeast"/>
          <w:jc w:val="center"/>
        </w:trPr>
        <w:tc>
          <w:tcPr>
            <w:tcW w:w="1551" w:type="dxa"/>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RW-56</w:t>
            </w:r>
          </w:p>
        </w:tc>
        <w:tc>
          <w:tcPr>
            <w:tcW w:w="3983" w:type="dxa"/>
            <w:gridSpan w:val="2"/>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推动教师分类管理、分类评价的人事管理制度改革；全面推行按岗聘用、竞聘上岗</w:t>
            </w:r>
          </w:p>
        </w:tc>
        <w:tc>
          <w:tcPr>
            <w:tcW w:w="1914" w:type="dxa"/>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省级教育行政部门、高等职业院校</w:t>
            </w:r>
          </w:p>
        </w:tc>
        <w:tc>
          <w:tcPr>
            <w:tcW w:w="2093" w:type="dxa"/>
            <w:gridSpan w:val="2"/>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2018年底前出台措施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495" w:hRule="atLeast"/>
          <w:jc w:val="center"/>
        </w:trPr>
        <w:tc>
          <w:tcPr>
            <w:tcW w:w="1551" w:type="dxa"/>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RW-57</w:t>
            </w:r>
          </w:p>
        </w:tc>
        <w:tc>
          <w:tcPr>
            <w:tcW w:w="3983" w:type="dxa"/>
            <w:gridSpan w:val="2"/>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制订体现高等职业教育特点的教师绩效评价标准; 55岁以下的教授、副教授每学期至少讲授一门课程</w:t>
            </w:r>
          </w:p>
        </w:tc>
        <w:tc>
          <w:tcPr>
            <w:tcW w:w="1914" w:type="dxa"/>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省级教育行政部门、高等职业院校</w:t>
            </w:r>
          </w:p>
        </w:tc>
        <w:tc>
          <w:tcPr>
            <w:tcW w:w="2093" w:type="dxa"/>
            <w:gridSpan w:val="2"/>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2018年底前出台措施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917" w:hRule="atLeast"/>
          <w:jc w:val="center"/>
        </w:trPr>
        <w:tc>
          <w:tcPr>
            <w:tcW w:w="1551" w:type="dxa"/>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RW-58</w:t>
            </w:r>
          </w:p>
        </w:tc>
        <w:tc>
          <w:tcPr>
            <w:tcW w:w="3983" w:type="dxa"/>
            <w:gridSpan w:val="2"/>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加强高等职业教育研究机构和队伍建设，加大投入支持相关研究工作；有条件的高等职业院校建立专门教育研究机构，开展教学研究</w:t>
            </w:r>
          </w:p>
        </w:tc>
        <w:tc>
          <w:tcPr>
            <w:tcW w:w="1914" w:type="dxa"/>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省级教育行政部门、高等职业院校</w:t>
            </w:r>
          </w:p>
        </w:tc>
        <w:tc>
          <w:tcPr>
            <w:tcW w:w="2093" w:type="dxa"/>
            <w:gridSpan w:val="2"/>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2016年底前出台措施，持续推进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285" w:hRule="atLeast"/>
          <w:jc w:val="center"/>
        </w:trPr>
        <w:tc>
          <w:tcPr>
            <w:tcW w:w="9541" w:type="dxa"/>
            <w:gridSpan w:val="6"/>
            <w:vAlign w:val="center"/>
          </w:tcPr>
          <w:p>
            <w:pPr>
              <w:widowControl/>
              <w:snapToGrid w:val="0"/>
              <w:spacing w:line="240" w:lineRule="atLeast"/>
              <w:jc w:val="center"/>
              <w:rPr>
                <w:rFonts w:ascii="黑体" w:hAnsi="黑体" w:eastAsia="黑体" w:cs="宋体"/>
                <w:color w:val="000000"/>
                <w:kern w:val="0"/>
                <w:sz w:val="24"/>
              </w:rPr>
            </w:pPr>
            <w:r>
              <w:rPr>
                <w:rFonts w:hint="eastAsia" w:ascii="黑体" w:hAnsi="黑体" w:eastAsia="黑体" w:cs="宋体"/>
                <w:color w:val="000000"/>
                <w:kern w:val="0"/>
                <w:sz w:val="24"/>
              </w:rPr>
              <w:t>五、提升思想政治教育质量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872" w:hRule="atLeast"/>
          <w:jc w:val="center"/>
        </w:trPr>
        <w:tc>
          <w:tcPr>
            <w:tcW w:w="1551" w:type="dxa"/>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RW-59</w:t>
            </w:r>
          </w:p>
        </w:tc>
        <w:tc>
          <w:tcPr>
            <w:tcW w:w="3983" w:type="dxa"/>
            <w:gridSpan w:val="2"/>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贯彻落实《高等学校辅导员职业能力标准（暂行）》</w:t>
            </w:r>
          </w:p>
        </w:tc>
        <w:tc>
          <w:tcPr>
            <w:tcW w:w="1914" w:type="dxa"/>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省级教育行政部门、高等职业院校</w:t>
            </w:r>
          </w:p>
        </w:tc>
        <w:tc>
          <w:tcPr>
            <w:tcW w:w="2093" w:type="dxa"/>
            <w:gridSpan w:val="2"/>
            <w:vAlign w:val="center"/>
          </w:tcPr>
          <w:p>
            <w:pPr>
              <w:widowControl/>
              <w:snapToGrid w:val="0"/>
              <w:spacing w:line="240" w:lineRule="atLeast"/>
              <w:jc w:val="left"/>
              <w:rPr>
                <w:rFonts w:hint="eastAsia" w:ascii="仿宋_GB2312" w:eastAsia="仿宋_GB2312"/>
                <w:color w:val="000000"/>
                <w:kern w:val="0"/>
                <w:sz w:val="24"/>
              </w:rPr>
            </w:pPr>
            <w:r>
              <w:rPr>
                <w:rFonts w:hint="eastAsia" w:ascii="仿宋_GB2312" w:eastAsia="仿宋_GB2312"/>
                <w:color w:val="000000"/>
                <w:kern w:val="0"/>
                <w:sz w:val="24"/>
              </w:rPr>
              <w:t>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1140" w:hRule="atLeast"/>
          <w:jc w:val="center"/>
        </w:trPr>
        <w:tc>
          <w:tcPr>
            <w:tcW w:w="1551" w:type="dxa"/>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RW-60</w:t>
            </w:r>
          </w:p>
        </w:tc>
        <w:tc>
          <w:tcPr>
            <w:tcW w:w="3983" w:type="dxa"/>
            <w:gridSpan w:val="2"/>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健全学生思想政治教育长效机制；高职院校按师生比1:200配备辅导员；心理健康教育全覆盖</w:t>
            </w:r>
          </w:p>
        </w:tc>
        <w:tc>
          <w:tcPr>
            <w:tcW w:w="1914" w:type="dxa"/>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教育部（思政司）、省级教育行政部门、高等职业院校</w:t>
            </w:r>
          </w:p>
        </w:tc>
        <w:tc>
          <w:tcPr>
            <w:tcW w:w="2093" w:type="dxa"/>
            <w:gridSpan w:val="2"/>
            <w:vAlign w:val="center"/>
          </w:tcPr>
          <w:p>
            <w:pPr>
              <w:widowControl/>
              <w:snapToGrid w:val="0"/>
              <w:spacing w:line="240" w:lineRule="atLeast"/>
              <w:jc w:val="left"/>
              <w:rPr>
                <w:rFonts w:hint="eastAsia" w:ascii="仿宋_GB2312" w:eastAsia="仿宋_GB2312"/>
                <w:color w:val="000000"/>
                <w:kern w:val="0"/>
                <w:sz w:val="24"/>
              </w:rPr>
            </w:pPr>
            <w:r>
              <w:rPr>
                <w:rFonts w:hint="eastAsia" w:ascii="仿宋_GB2312" w:eastAsia="仿宋_GB2312"/>
                <w:color w:val="000000"/>
                <w:kern w:val="0"/>
                <w:sz w:val="24"/>
              </w:rPr>
              <w:t>2018年底前完成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600" w:hRule="atLeast"/>
          <w:jc w:val="center"/>
        </w:trPr>
        <w:tc>
          <w:tcPr>
            <w:tcW w:w="1551" w:type="dxa"/>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RW-61</w:t>
            </w:r>
          </w:p>
        </w:tc>
        <w:tc>
          <w:tcPr>
            <w:tcW w:w="3983" w:type="dxa"/>
            <w:gridSpan w:val="2"/>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 xml:space="preserve">全面推进《全国大学生思想政治教育质量测评体系（试行）》 </w:t>
            </w:r>
          </w:p>
        </w:tc>
        <w:tc>
          <w:tcPr>
            <w:tcW w:w="1914" w:type="dxa"/>
            <w:vAlign w:val="center"/>
          </w:tcPr>
          <w:p>
            <w:pPr>
              <w:rPr>
                <w:rFonts w:hint="eastAsia" w:ascii="仿宋_GB2312" w:eastAsia="仿宋_GB2312"/>
                <w:color w:val="000000"/>
                <w:kern w:val="0"/>
                <w:sz w:val="24"/>
              </w:rPr>
            </w:pPr>
            <w:r>
              <w:rPr>
                <w:rFonts w:hint="eastAsia" w:ascii="仿宋_GB2312" w:eastAsia="仿宋_GB2312"/>
                <w:color w:val="000000"/>
                <w:kern w:val="0"/>
                <w:sz w:val="24"/>
              </w:rPr>
              <w:t>省级教育行政部门、高等职业院校</w:t>
            </w:r>
          </w:p>
        </w:tc>
        <w:tc>
          <w:tcPr>
            <w:tcW w:w="2093" w:type="dxa"/>
            <w:gridSpan w:val="2"/>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600" w:hRule="atLeast"/>
          <w:jc w:val="center"/>
        </w:trPr>
        <w:tc>
          <w:tcPr>
            <w:tcW w:w="1551" w:type="dxa"/>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RW-62</w:t>
            </w:r>
          </w:p>
        </w:tc>
        <w:tc>
          <w:tcPr>
            <w:tcW w:w="3983" w:type="dxa"/>
            <w:gridSpan w:val="2"/>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创建平安校园、和谐校园</w:t>
            </w:r>
          </w:p>
        </w:tc>
        <w:tc>
          <w:tcPr>
            <w:tcW w:w="1914" w:type="dxa"/>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省级教育行政部门、高等职业院校</w:t>
            </w:r>
          </w:p>
        </w:tc>
        <w:tc>
          <w:tcPr>
            <w:tcW w:w="2093" w:type="dxa"/>
            <w:gridSpan w:val="2"/>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600" w:hRule="atLeast"/>
          <w:jc w:val="center"/>
        </w:trPr>
        <w:tc>
          <w:tcPr>
            <w:tcW w:w="1551" w:type="dxa"/>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RW-63</w:t>
            </w:r>
          </w:p>
        </w:tc>
        <w:tc>
          <w:tcPr>
            <w:tcW w:w="3983" w:type="dxa"/>
            <w:gridSpan w:val="2"/>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落实《高等学校体育工作基本标准》</w:t>
            </w:r>
          </w:p>
        </w:tc>
        <w:tc>
          <w:tcPr>
            <w:tcW w:w="1914" w:type="dxa"/>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教育部（体卫艺司）、省级教育行政部门、高等职业院校</w:t>
            </w:r>
          </w:p>
        </w:tc>
        <w:tc>
          <w:tcPr>
            <w:tcW w:w="2093" w:type="dxa"/>
            <w:gridSpan w:val="2"/>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600" w:hRule="atLeast"/>
          <w:jc w:val="center"/>
        </w:trPr>
        <w:tc>
          <w:tcPr>
            <w:tcW w:w="1551" w:type="dxa"/>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RW-64</w:t>
            </w:r>
          </w:p>
        </w:tc>
        <w:tc>
          <w:tcPr>
            <w:tcW w:w="3983" w:type="dxa"/>
            <w:gridSpan w:val="2"/>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加强文化素质教育；加强校园文化建设；支持学生社团活动</w:t>
            </w:r>
          </w:p>
        </w:tc>
        <w:tc>
          <w:tcPr>
            <w:tcW w:w="1914" w:type="dxa"/>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省级教育行政部门、高等职业院校</w:t>
            </w:r>
          </w:p>
        </w:tc>
        <w:tc>
          <w:tcPr>
            <w:tcW w:w="2093" w:type="dxa"/>
            <w:gridSpan w:val="2"/>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 w:type="dxa"/>
          <w:trHeight w:val="600" w:hRule="atLeast"/>
          <w:jc w:val="center"/>
        </w:trPr>
        <w:tc>
          <w:tcPr>
            <w:tcW w:w="1551" w:type="dxa"/>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RW-65</w:t>
            </w:r>
          </w:p>
        </w:tc>
        <w:tc>
          <w:tcPr>
            <w:tcW w:w="3983" w:type="dxa"/>
            <w:gridSpan w:val="2"/>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促进职业技能培养与职业精神养成相融合</w:t>
            </w:r>
          </w:p>
        </w:tc>
        <w:tc>
          <w:tcPr>
            <w:tcW w:w="1914" w:type="dxa"/>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省级教育行政部门、高等职业院校</w:t>
            </w:r>
          </w:p>
        </w:tc>
        <w:tc>
          <w:tcPr>
            <w:tcW w:w="2093" w:type="dxa"/>
            <w:gridSpan w:val="2"/>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持续推进</w:t>
            </w:r>
          </w:p>
        </w:tc>
      </w:tr>
    </w:tbl>
    <w:p>
      <w:pPr>
        <w:adjustRightInd w:val="0"/>
        <w:snapToGrid w:val="0"/>
        <w:spacing w:line="600" w:lineRule="exact"/>
        <w:rPr>
          <w:rFonts w:hint="eastAsia" w:eastAsia="仿宋_GB2312"/>
          <w:sz w:val="32"/>
          <w:szCs w:val="32"/>
        </w:rPr>
      </w:pPr>
    </w:p>
    <w:p>
      <w:pPr>
        <w:adjustRightInd w:val="0"/>
        <w:snapToGrid w:val="0"/>
        <w:spacing w:line="600" w:lineRule="exact"/>
        <w:rPr>
          <w:rFonts w:hint="eastAsia" w:eastAsia="黑体"/>
          <w:bCs/>
          <w:kern w:val="44"/>
          <w:sz w:val="32"/>
          <w:szCs w:val="44"/>
          <w:lang w:val="zh-CN" w:eastAsia="zh-CN"/>
        </w:rPr>
      </w:pPr>
      <w:r>
        <w:rPr>
          <w:rFonts w:hint="eastAsia" w:eastAsia="黑体"/>
          <w:bCs/>
          <w:kern w:val="44"/>
          <w:sz w:val="32"/>
          <w:szCs w:val="44"/>
          <w:lang w:val="zh-CN" w:eastAsia="zh-CN"/>
        </w:rPr>
        <w:t>项目一览表</w:t>
      </w:r>
    </w:p>
    <w:tbl>
      <w:tblPr>
        <w:tblStyle w:val="22"/>
        <w:tblW w:w="954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4101"/>
        <w:gridCol w:w="1896"/>
        <w:gridCol w:w="21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2" w:hRule="atLeast"/>
          <w:tblHeader/>
          <w:jc w:val="center"/>
        </w:trPr>
        <w:tc>
          <w:tcPr>
            <w:tcW w:w="1416" w:type="dxa"/>
            <w:shd w:val="clear" w:color="000000" w:fill="FFFFFF"/>
            <w:vAlign w:val="center"/>
          </w:tcPr>
          <w:p>
            <w:pPr>
              <w:widowControl/>
              <w:snapToGrid w:val="0"/>
              <w:spacing w:line="240" w:lineRule="atLeast"/>
              <w:jc w:val="center"/>
              <w:rPr>
                <w:rFonts w:ascii="黑体" w:hAnsi="黑体" w:eastAsia="黑体" w:cs="宋体"/>
                <w:color w:val="000000"/>
                <w:kern w:val="0"/>
                <w:sz w:val="24"/>
              </w:rPr>
            </w:pPr>
            <w:r>
              <w:rPr>
                <w:rFonts w:hint="eastAsia" w:ascii="黑体" w:hAnsi="黑体" w:eastAsia="黑体" w:cs="宋体"/>
                <w:color w:val="000000"/>
                <w:kern w:val="0"/>
                <w:sz w:val="24"/>
              </w:rPr>
              <w:t>序号</w:t>
            </w:r>
          </w:p>
        </w:tc>
        <w:tc>
          <w:tcPr>
            <w:tcW w:w="4101" w:type="dxa"/>
            <w:shd w:val="clear" w:color="000000" w:fill="FFFFFF"/>
            <w:vAlign w:val="center"/>
          </w:tcPr>
          <w:p>
            <w:pPr>
              <w:widowControl/>
              <w:snapToGrid w:val="0"/>
              <w:spacing w:line="240" w:lineRule="atLeast"/>
              <w:jc w:val="center"/>
              <w:rPr>
                <w:rFonts w:ascii="黑体" w:hAnsi="黑体" w:eastAsia="黑体" w:cs="宋体"/>
                <w:color w:val="000000"/>
                <w:kern w:val="0"/>
                <w:sz w:val="24"/>
              </w:rPr>
            </w:pPr>
            <w:r>
              <w:rPr>
                <w:rFonts w:hint="eastAsia" w:ascii="黑体" w:hAnsi="黑体" w:eastAsia="黑体" w:cs="宋体"/>
                <w:color w:val="000000"/>
                <w:kern w:val="0"/>
                <w:sz w:val="24"/>
              </w:rPr>
              <w:t>工作任务</w:t>
            </w:r>
          </w:p>
        </w:tc>
        <w:tc>
          <w:tcPr>
            <w:tcW w:w="1896" w:type="dxa"/>
            <w:shd w:val="clear" w:color="000000" w:fill="FFFFFF"/>
            <w:vAlign w:val="center"/>
          </w:tcPr>
          <w:p>
            <w:pPr>
              <w:widowControl/>
              <w:snapToGrid w:val="0"/>
              <w:spacing w:line="240" w:lineRule="atLeast"/>
              <w:jc w:val="center"/>
              <w:rPr>
                <w:rFonts w:ascii="黑体" w:hAnsi="黑体" w:eastAsia="黑体" w:cs="宋体"/>
                <w:color w:val="000000"/>
                <w:kern w:val="0"/>
                <w:sz w:val="24"/>
              </w:rPr>
            </w:pPr>
            <w:r>
              <w:rPr>
                <w:rFonts w:hint="eastAsia" w:ascii="黑体" w:hAnsi="黑体" w:eastAsia="黑体" w:cs="宋体"/>
                <w:color w:val="000000"/>
                <w:kern w:val="0"/>
                <w:sz w:val="24"/>
              </w:rPr>
              <w:t>负责单位</w:t>
            </w:r>
          </w:p>
        </w:tc>
        <w:tc>
          <w:tcPr>
            <w:tcW w:w="2128" w:type="dxa"/>
            <w:shd w:val="clear" w:color="000000" w:fill="FFFFFF"/>
            <w:vAlign w:val="center"/>
          </w:tcPr>
          <w:p>
            <w:pPr>
              <w:widowControl/>
              <w:snapToGrid w:val="0"/>
              <w:spacing w:line="240" w:lineRule="atLeast"/>
              <w:jc w:val="center"/>
              <w:rPr>
                <w:rFonts w:ascii="黑体" w:hAnsi="黑体" w:eastAsia="黑体" w:cs="宋体"/>
                <w:color w:val="000000"/>
                <w:kern w:val="0"/>
                <w:sz w:val="24"/>
              </w:rPr>
            </w:pPr>
            <w:r>
              <w:rPr>
                <w:rFonts w:hint="eastAsia" w:ascii="黑体" w:hAnsi="黑体" w:eastAsia="黑体" w:cs="宋体"/>
                <w:color w:val="000000"/>
                <w:kern w:val="0"/>
                <w:sz w:val="24"/>
              </w:rPr>
              <w:t>时间进度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jc w:val="center"/>
        </w:trPr>
        <w:tc>
          <w:tcPr>
            <w:tcW w:w="9541" w:type="dxa"/>
            <w:gridSpan w:val="4"/>
            <w:shd w:val="clear" w:color="000000" w:fill="FFFFFF"/>
            <w:vAlign w:val="center"/>
          </w:tcPr>
          <w:p>
            <w:pPr>
              <w:widowControl/>
              <w:snapToGrid w:val="0"/>
              <w:spacing w:line="240" w:lineRule="atLeast"/>
              <w:jc w:val="center"/>
              <w:rPr>
                <w:rFonts w:ascii="黑体" w:hAnsi="黑体" w:eastAsia="黑体" w:cs="宋体"/>
                <w:color w:val="000000"/>
                <w:kern w:val="0"/>
                <w:sz w:val="24"/>
              </w:rPr>
            </w:pPr>
            <w:r>
              <w:rPr>
                <w:rFonts w:hint="eastAsia" w:ascii="黑体" w:hAnsi="黑体" w:eastAsia="黑体" w:cs="宋体"/>
                <w:color w:val="000000"/>
                <w:kern w:val="0"/>
                <w:sz w:val="24"/>
              </w:rPr>
              <w:t>一、扩大优质教育资源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 w:hRule="atLeast"/>
          <w:jc w:val="center"/>
        </w:trPr>
        <w:tc>
          <w:tcPr>
            <w:tcW w:w="1416" w:type="dxa"/>
            <w:tcBorders>
              <w:bottom w:val="single" w:color="auto" w:sz="4" w:space="0"/>
            </w:tcBorders>
            <w:shd w:val="clear" w:color="auto" w:fill="EEECE1"/>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XM-1</w:t>
            </w:r>
          </w:p>
        </w:tc>
        <w:tc>
          <w:tcPr>
            <w:tcW w:w="4101"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骨干专业建设（</w:t>
            </w:r>
            <w:r>
              <w:rPr>
                <w:rFonts w:hint="eastAsia" w:ascii="仿宋_GB2312" w:eastAsia="仿宋_GB2312"/>
                <w:color w:val="000000"/>
                <w:kern w:val="0"/>
                <w:sz w:val="24"/>
              </w:rPr>
              <w:t>3000</w:t>
            </w:r>
            <w:r>
              <w:rPr>
                <w:rFonts w:hint="eastAsia" w:ascii="仿宋_GB2312" w:hAnsi="宋体" w:eastAsia="仿宋_GB2312" w:cs="宋体"/>
                <w:color w:val="000000"/>
                <w:kern w:val="0"/>
                <w:sz w:val="24"/>
              </w:rPr>
              <w:t>个左右）</w:t>
            </w:r>
          </w:p>
        </w:tc>
        <w:tc>
          <w:tcPr>
            <w:tcW w:w="1896"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省级</w:t>
            </w:r>
            <w:r>
              <w:rPr>
                <w:rFonts w:hint="eastAsia" w:ascii="仿宋_GB2312" w:eastAsia="仿宋_GB2312"/>
                <w:color w:val="000000"/>
                <w:kern w:val="0"/>
                <w:sz w:val="24"/>
              </w:rPr>
              <w:t>教育行政部门</w:t>
            </w:r>
          </w:p>
        </w:tc>
        <w:tc>
          <w:tcPr>
            <w:tcW w:w="2128"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2016年出台措施，2018年底前完成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 w:hRule="atLeast"/>
          <w:jc w:val="center"/>
        </w:trPr>
        <w:tc>
          <w:tcPr>
            <w:tcW w:w="1416" w:type="dxa"/>
            <w:shd w:val="clear" w:color="auto" w:fill="EEECE1"/>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XM-2</w:t>
            </w:r>
          </w:p>
        </w:tc>
        <w:tc>
          <w:tcPr>
            <w:tcW w:w="4101"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校企共建的生产性实训基地建设（</w:t>
            </w:r>
            <w:r>
              <w:rPr>
                <w:rFonts w:hint="eastAsia" w:ascii="仿宋_GB2312" w:eastAsia="仿宋_GB2312"/>
                <w:color w:val="000000"/>
                <w:kern w:val="0"/>
                <w:sz w:val="24"/>
              </w:rPr>
              <w:t>1200</w:t>
            </w:r>
            <w:r>
              <w:rPr>
                <w:rFonts w:hint="eastAsia" w:ascii="仿宋_GB2312" w:hAnsi="宋体" w:eastAsia="仿宋_GB2312" w:cs="宋体"/>
                <w:color w:val="000000"/>
                <w:kern w:val="0"/>
                <w:sz w:val="24"/>
              </w:rPr>
              <w:t>个左右）</w:t>
            </w:r>
          </w:p>
        </w:tc>
        <w:tc>
          <w:tcPr>
            <w:tcW w:w="1896"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省级</w:t>
            </w:r>
            <w:r>
              <w:rPr>
                <w:rFonts w:hint="eastAsia" w:ascii="仿宋_GB2312" w:eastAsia="仿宋_GB2312"/>
                <w:color w:val="000000"/>
                <w:kern w:val="0"/>
                <w:sz w:val="24"/>
              </w:rPr>
              <w:t>教育行政部门</w:t>
            </w:r>
          </w:p>
        </w:tc>
        <w:tc>
          <w:tcPr>
            <w:tcW w:w="2128"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2016年出台措施，2018年底前完成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 w:hRule="atLeast"/>
          <w:jc w:val="center"/>
        </w:trPr>
        <w:tc>
          <w:tcPr>
            <w:tcW w:w="1416" w:type="dxa"/>
            <w:shd w:val="clear" w:color="auto" w:fill="EEECE1"/>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XM-3</w:t>
            </w:r>
          </w:p>
        </w:tc>
        <w:tc>
          <w:tcPr>
            <w:tcW w:w="4101"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优质专科高等职业院校建设（</w:t>
            </w:r>
            <w:r>
              <w:rPr>
                <w:rFonts w:hint="eastAsia" w:ascii="仿宋_GB2312" w:eastAsia="仿宋_GB2312"/>
                <w:color w:val="000000"/>
                <w:kern w:val="0"/>
                <w:sz w:val="24"/>
              </w:rPr>
              <w:t>200</w:t>
            </w:r>
            <w:r>
              <w:rPr>
                <w:rFonts w:hint="eastAsia" w:ascii="仿宋_GB2312" w:hAnsi="宋体" w:eastAsia="仿宋_GB2312" w:cs="宋体"/>
                <w:color w:val="000000"/>
                <w:kern w:val="0"/>
                <w:sz w:val="24"/>
              </w:rPr>
              <w:t>所左右）</w:t>
            </w:r>
          </w:p>
        </w:tc>
        <w:tc>
          <w:tcPr>
            <w:tcW w:w="1896"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省级</w:t>
            </w:r>
            <w:r>
              <w:rPr>
                <w:rFonts w:hint="eastAsia" w:ascii="仿宋_GB2312" w:eastAsia="仿宋_GB2312"/>
                <w:color w:val="000000"/>
                <w:kern w:val="0"/>
                <w:sz w:val="24"/>
              </w:rPr>
              <w:t>教育行政部门</w:t>
            </w:r>
          </w:p>
        </w:tc>
        <w:tc>
          <w:tcPr>
            <w:tcW w:w="2128"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2016年出台措施，2018年底前完成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 w:hRule="atLeast"/>
          <w:jc w:val="center"/>
        </w:trPr>
        <w:tc>
          <w:tcPr>
            <w:tcW w:w="1416" w:type="dxa"/>
            <w:shd w:val="clear" w:color="auto" w:fill="EEECE1"/>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XM-4</w:t>
            </w:r>
          </w:p>
        </w:tc>
        <w:tc>
          <w:tcPr>
            <w:tcW w:w="4101"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 xml:space="preserve"> “双师型”教师培养培训基地建设（</w:t>
            </w:r>
            <w:r>
              <w:rPr>
                <w:rFonts w:hint="eastAsia" w:ascii="仿宋_GB2312" w:eastAsia="仿宋_GB2312"/>
                <w:color w:val="000000"/>
                <w:kern w:val="0"/>
                <w:sz w:val="24"/>
              </w:rPr>
              <w:t>500</w:t>
            </w:r>
            <w:r>
              <w:rPr>
                <w:rFonts w:hint="eastAsia" w:ascii="仿宋_GB2312" w:hAnsi="宋体" w:eastAsia="仿宋_GB2312" w:cs="宋体"/>
                <w:color w:val="000000"/>
                <w:kern w:val="0"/>
                <w:sz w:val="24"/>
              </w:rPr>
              <w:t>个左右）</w:t>
            </w:r>
          </w:p>
        </w:tc>
        <w:tc>
          <w:tcPr>
            <w:tcW w:w="1896"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省级</w:t>
            </w:r>
            <w:r>
              <w:rPr>
                <w:rFonts w:hint="eastAsia" w:ascii="仿宋_GB2312" w:eastAsia="仿宋_GB2312"/>
                <w:color w:val="000000"/>
                <w:kern w:val="0"/>
                <w:sz w:val="24"/>
              </w:rPr>
              <w:t>教育行政部门</w:t>
            </w:r>
            <w:r>
              <w:rPr>
                <w:rFonts w:hint="eastAsia" w:ascii="仿宋_GB2312" w:hAnsi="宋体" w:eastAsia="仿宋_GB2312" w:cs="宋体"/>
                <w:color w:val="000000"/>
                <w:kern w:val="0"/>
                <w:sz w:val="24"/>
              </w:rPr>
              <w:t>、高等职业院校</w:t>
            </w:r>
          </w:p>
        </w:tc>
        <w:tc>
          <w:tcPr>
            <w:tcW w:w="2128"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2018年底前完成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 w:hRule="atLeast"/>
          <w:jc w:val="center"/>
        </w:trPr>
        <w:tc>
          <w:tcPr>
            <w:tcW w:w="1416" w:type="dxa"/>
            <w:shd w:val="clear" w:color="auto" w:fill="EEECE1"/>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XM-5</w:t>
            </w:r>
          </w:p>
        </w:tc>
        <w:tc>
          <w:tcPr>
            <w:tcW w:w="4101" w:type="dxa"/>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新建一批国家级职业教育专业教学资源库和国家精品在线开放课程；建成一批国家级职业教育数字资源开发应用基地，开发建设一批数字资源素材库和网络示范课程</w:t>
            </w:r>
          </w:p>
        </w:tc>
        <w:tc>
          <w:tcPr>
            <w:tcW w:w="1896" w:type="dxa"/>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教育部（职成司、高教司、财务司）</w:t>
            </w:r>
          </w:p>
        </w:tc>
        <w:tc>
          <w:tcPr>
            <w:tcW w:w="2128" w:type="dxa"/>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2018年</w:t>
            </w:r>
            <w:r>
              <w:rPr>
                <w:rFonts w:hint="eastAsia" w:ascii="仿宋_GB2312" w:hAnsi="宋体" w:eastAsia="仿宋_GB2312" w:cs="宋体"/>
                <w:color w:val="000000"/>
                <w:kern w:val="0"/>
                <w:sz w:val="24"/>
              </w:rPr>
              <w:t>底前</w:t>
            </w:r>
            <w:r>
              <w:rPr>
                <w:rFonts w:hint="eastAsia" w:ascii="仿宋_GB2312" w:eastAsia="仿宋_GB2312"/>
                <w:color w:val="000000"/>
                <w:kern w:val="0"/>
                <w:sz w:val="24"/>
              </w:rPr>
              <w:t>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 w:hRule="atLeast"/>
          <w:jc w:val="center"/>
        </w:trPr>
        <w:tc>
          <w:tcPr>
            <w:tcW w:w="1416" w:type="dxa"/>
            <w:shd w:val="clear" w:color="auto" w:fill="EEECE1"/>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XM-6</w:t>
            </w:r>
          </w:p>
        </w:tc>
        <w:tc>
          <w:tcPr>
            <w:tcW w:w="4101" w:type="dxa"/>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立项建设省级高等职业教育专业教学资源库（200个左右）和精品在线开放课程（1000门左右）</w:t>
            </w:r>
          </w:p>
        </w:tc>
        <w:tc>
          <w:tcPr>
            <w:tcW w:w="1896" w:type="dxa"/>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省级教育行政部门</w:t>
            </w:r>
          </w:p>
        </w:tc>
        <w:tc>
          <w:tcPr>
            <w:tcW w:w="2128" w:type="dxa"/>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持续推进，2018年完成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 w:hRule="atLeast"/>
          <w:jc w:val="center"/>
        </w:trPr>
        <w:tc>
          <w:tcPr>
            <w:tcW w:w="1416" w:type="dxa"/>
            <w:shd w:val="clear" w:color="auto" w:fill="EEECE1"/>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XM-7</w:t>
            </w:r>
          </w:p>
        </w:tc>
        <w:tc>
          <w:tcPr>
            <w:tcW w:w="4101" w:type="dxa"/>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建成一批职业能力培养虚拟仿真实训中心（50个左右）</w:t>
            </w:r>
          </w:p>
        </w:tc>
        <w:tc>
          <w:tcPr>
            <w:tcW w:w="1896" w:type="dxa"/>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省级教育行政部门</w:t>
            </w:r>
          </w:p>
        </w:tc>
        <w:tc>
          <w:tcPr>
            <w:tcW w:w="2128" w:type="dxa"/>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2018年</w:t>
            </w:r>
            <w:r>
              <w:rPr>
                <w:rFonts w:hint="eastAsia" w:ascii="仿宋_GB2312" w:hAnsi="宋体" w:eastAsia="仿宋_GB2312" w:cs="宋体"/>
                <w:color w:val="000000"/>
                <w:kern w:val="0"/>
                <w:sz w:val="24"/>
              </w:rPr>
              <w:t>底前</w:t>
            </w:r>
            <w:r>
              <w:rPr>
                <w:rFonts w:hint="eastAsia" w:ascii="仿宋_GB2312" w:eastAsia="仿宋_GB2312"/>
                <w:color w:val="000000"/>
                <w:kern w:val="0"/>
                <w:sz w:val="24"/>
              </w:rPr>
              <w:t>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 w:hRule="atLeast"/>
          <w:jc w:val="center"/>
        </w:trPr>
        <w:tc>
          <w:tcPr>
            <w:tcW w:w="1416" w:type="dxa"/>
            <w:shd w:val="clear" w:color="auto" w:fill="EEECE1"/>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XM-8</w:t>
            </w:r>
          </w:p>
        </w:tc>
        <w:tc>
          <w:tcPr>
            <w:tcW w:w="4101"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eastAsia="仿宋_GB2312"/>
                <w:color w:val="000000"/>
                <w:kern w:val="0"/>
                <w:sz w:val="24"/>
              </w:rPr>
              <w:t>建设一批</w:t>
            </w:r>
            <w:r>
              <w:rPr>
                <w:rFonts w:hint="eastAsia" w:ascii="仿宋_GB2312" w:hAnsi="宋体" w:eastAsia="仿宋_GB2312" w:cs="宋体"/>
                <w:color w:val="000000"/>
                <w:kern w:val="0"/>
                <w:sz w:val="24"/>
              </w:rPr>
              <w:t>骨干职业教育集团（180个左右）；遴选</w:t>
            </w:r>
            <w:r>
              <w:rPr>
                <w:rFonts w:hint="eastAsia" w:ascii="仿宋_GB2312" w:eastAsia="仿宋_GB2312"/>
                <w:color w:val="000000"/>
                <w:kern w:val="0"/>
                <w:sz w:val="24"/>
              </w:rPr>
              <w:t>10</w:t>
            </w:r>
            <w:r>
              <w:rPr>
                <w:rFonts w:hint="eastAsia" w:ascii="仿宋_GB2312" w:hAnsi="宋体" w:eastAsia="仿宋_GB2312" w:cs="宋体"/>
                <w:color w:val="000000"/>
                <w:kern w:val="0"/>
                <w:sz w:val="24"/>
              </w:rPr>
              <w:t xml:space="preserve">个省份开展多元投入主体依法共建职业教育集团的改革试点 </w:t>
            </w:r>
          </w:p>
        </w:tc>
        <w:tc>
          <w:tcPr>
            <w:tcW w:w="1896"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省级</w:t>
            </w:r>
            <w:r>
              <w:rPr>
                <w:rFonts w:hint="eastAsia" w:ascii="仿宋_GB2312" w:eastAsia="仿宋_GB2312"/>
                <w:color w:val="000000"/>
                <w:kern w:val="0"/>
                <w:sz w:val="24"/>
              </w:rPr>
              <w:t>教育行政部门</w:t>
            </w:r>
            <w:r>
              <w:rPr>
                <w:rFonts w:hint="eastAsia" w:ascii="仿宋_GB2312" w:hAnsi="宋体" w:eastAsia="仿宋_GB2312" w:cs="宋体"/>
                <w:color w:val="000000"/>
                <w:kern w:val="0"/>
                <w:sz w:val="24"/>
              </w:rPr>
              <w:t>，有关行业、企业、高等职业院校</w:t>
            </w:r>
          </w:p>
        </w:tc>
        <w:tc>
          <w:tcPr>
            <w:tcW w:w="2128"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eastAsia="仿宋_GB2312"/>
                <w:color w:val="000000"/>
                <w:kern w:val="0"/>
                <w:sz w:val="24"/>
              </w:rPr>
              <w:t>2018</w:t>
            </w:r>
            <w:r>
              <w:rPr>
                <w:rFonts w:hint="eastAsia" w:ascii="仿宋_GB2312" w:hAnsi="宋体" w:eastAsia="仿宋_GB2312" w:cs="宋体"/>
                <w:color w:val="000000"/>
                <w:kern w:val="0"/>
                <w:sz w:val="24"/>
              </w:rPr>
              <w:t>年底前完成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 w:hRule="atLeast"/>
          <w:jc w:val="center"/>
        </w:trPr>
        <w:tc>
          <w:tcPr>
            <w:tcW w:w="1416" w:type="dxa"/>
            <w:shd w:val="clear" w:color="auto" w:fill="EEECE1"/>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XM-9</w:t>
            </w:r>
          </w:p>
        </w:tc>
        <w:tc>
          <w:tcPr>
            <w:tcW w:w="4101"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建设一批连锁型职教集团（20个左右）</w:t>
            </w:r>
          </w:p>
        </w:tc>
        <w:tc>
          <w:tcPr>
            <w:tcW w:w="1896"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省级</w:t>
            </w:r>
            <w:r>
              <w:rPr>
                <w:rFonts w:hint="eastAsia" w:ascii="仿宋_GB2312" w:eastAsia="仿宋_GB2312"/>
                <w:color w:val="000000"/>
                <w:kern w:val="0"/>
                <w:sz w:val="24"/>
              </w:rPr>
              <w:t>教育行政部门</w:t>
            </w:r>
            <w:r>
              <w:rPr>
                <w:rFonts w:hint="eastAsia" w:ascii="仿宋_GB2312" w:hAnsi="宋体" w:eastAsia="仿宋_GB2312" w:cs="宋体"/>
                <w:color w:val="000000"/>
                <w:kern w:val="0"/>
                <w:sz w:val="24"/>
              </w:rPr>
              <w:t>、高等职业院校</w:t>
            </w:r>
          </w:p>
        </w:tc>
        <w:tc>
          <w:tcPr>
            <w:tcW w:w="2128"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eastAsia="仿宋_GB2312"/>
                <w:color w:val="000000"/>
                <w:kern w:val="0"/>
                <w:sz w:val="24"/>
              </w:rPr>
              <w:t>2018</w:t>
            </w:r>
            <w:r>
              <w:rPr>
                <w:rFonts w:hint="eastAsia" w:ascii="仿宋_GB2312" w:hAnsi="宋体" w:eastAsia="仿宋_GB2312" w:cs="宋体"/>
                <w:color w:val="000000"/>
                <w:kern w:val="0"/>
                <w:sz w:val="24"/>
              </w:rPr>
              <w:t>年底前完成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 w:hRule="atLeast"/>
          <w:jc w:val="center"/>
        </w:trPr>
        <w:tc>
          <w:tcPr>
            <w:tcW w:w="1416" w:type="dxa"/>
            <w:shd w:val="clear" w:color="auto" w:fill="EEECE1"/>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XM-10</w:t>
            </w:r>
          </w:p>
        </w:tc>
        <w:tc>
          <w:tcPr>
            <w:tcW w:w="4101"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lang w:val="zh-CN"/>
              </w:rPr>
            </w:pPr>
            <w:r>
              <w:rPr>
                <w:rFonts w:hint="eastAsia" w:ascii="仿宋_GB2312" w:hAnsi="宋体" w:eastAsia="仿宋_GB2312" w:cs="宋体"/>
                <w:color w:val="000000"/>
                <w:kern w:val="0"/>
                <w:sz w:val="24"/>
              </w:rPr>
              <w:t>支持东中部地区高职院校（职教集团）对口支援西部职业院校；支援革命老区、西藏及四省藏区、新疆和集中连片特殊困难地区的专科高等职业院校提升办学基础能力和人才培养水平（</w:t>
            </w:r>
            <w:r>
              <w:rPr>
                <w:rFonts w:hint="eastAsia" w:ascii="仿宋_GB2312" w:eastAsia="仿宋_GB2312"/>
                <w:color w:val="000000"/>
                <w:kern w:val="0"/>
                <w:sz w:val="24"/>
              </w:rPr>
              <w:t>400</w:t>
            </w:r>
            <w:r>
              <w:rPr>
                <w:rFonts w:hint="eastAsia" w:ascii="仿宋_GB2312" w:hAnsi="宋体" w:eastAsia="仿宋_GB2312" w:cs="宋体"/>
                <w:color w:val="000000"/>
                <w:kern w:val="0"/>
                <w:sz w:val="24"/>
              </w:rPr>
              <w:t>校次左右）</w:t>
            </w:r>
          </w:p>
        </w:tc>
        <w:tc>
          <w:tcPr>
            <w:tcW w:w="1896"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教育部（职成司、财务司、民族司）、有关省级</w:t>
            </w:r>
            <w:r>
              <w:rPr>
                <w:rFonts w:hint="eastAsia" w:ascii="仿宋_GB2312" w:eastAsia="仿宋_GB2312"/>
                <w:color w:val="000000"/>
                <w:kern w:val="0"/>
                <w:sz w:val="24"/>
              </w:rPr>
              <w:t>教育行政部门</w:t>
            </w:r>
          </w:p>
        </w:tc>
        <w:tc>
          <w:tcPr>
            <w:tcW w:w="2128"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eastAsia="仿宋_GB2312"/>
                <w:color w:val="000000"/>
                <w:kern w:val="0"/>
                <w:sz w:val="24"/>
              </w:rPr>
              <w:t>2016</w:t>
            </w:r>
            <w:r>
              <w:rPr>
                <w:rFonts w:hint="eastAsia" w:ascii="仿宋_GB2312" w:hAnsi="宋体" w:eastAsia="仿宋_GB2312" w:cs="宋体"/>
                <w:color w:val="000000"/>
                <w:kern w:val="0"/>
                <w:sz w:val="24"/>
              </w:rPr>
              <w:t>年出台措施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9541" w:type="dxa"/>
            <w:gridSpan w:val="4"/>
            <w:shd w:val="clear" w:color="auto" w:fill="auto"/>
            <w:vAlign w:val="center"/>
          </w:tcPr>
          <w:p>
            <w:pPr>
              <w:widowControl/>
              <w:snapToGrid w:val="0"/>
              <w:spacing w:line="240" w:lineRule="atLeast"/>
              <w:jc w:val="center"/>
              <w:rPr>
                <w:rFonts w:ascii="黑体" w:hAnsi="黑体" w:eastAsia="黑体" w:cs="宋体"/>
                <w:color w:val="000000"/>
                <w:kern w:val="0"/>
                <w:sz w:val="24"/>
              </w:rPr>
            </w:pPr>
            <w:r>
              <w:rPr>
                <w:rFonts w:hint="eastAsia" w:ascii="黑体" w:hAnsi="黑体" w:eastAsia="黑体" w:cs="宋体"/>
                <w:color w:val="000000"/>
                <w:kern w:val="0"/>
                <w:sz w:val="24"/>
              </w:rPr>
              <w:t>二、增强院校办学活力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jc w:val="center"/>
        </w:trPr>
        <w:tc>
          <w:tcPr>
            <w:tcW w:w="1416" w:type="dxa"/>
            <w:shd w:val="clear" w:color="auto" w:fill="EEECE1"/>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XM-11</w:t>
            </w:r>
          </w:p>
        </w:tc>
        <w:tc>
          <w:tcPr>
            <w:tcW w:w="4101"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支持公办高等职业院校和企业合作举办适用公办学校政策、具有混合所有制特征的二级学院（</w:t>
            </w:r>
            <w:r>
              <w:rPr>
                <w:rFonts w:hint="eastAsia" w:ascii="仿宋_GB2312" w:eastAsia="仿宋_GB2312"/>
                <w:color w:val="000000"/>
                <w:kern w:val="0"/>
                <w:sz w:val="24"/>
              </w:rPr>
              <w:t>100</w:t>
            </w:r>
            <w:r>
              <w:rPr>
                <w:rFonts w:hint="eastAsia" w:ascii="仿宋_GB2312" w:hAnsi="宋体" w:eastAsia="仿宋_GB2312" w:cs="宋体"/>
                <w:color w:val="000000"/>
                <w:kern w:val="0"/>
                <w:sz w:val="24"/>
              </w:rPr>
              <w:t>个左右）</w:t>
            </w:r>
          </w:p>
        </w:tc>
        <w:tc>
          <w:tcPr>
            <w:tcW w:w="1896"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省级</w:t>
            </w:r>
            <w:r>
              <w:rPr>
                <w:rFonts w:hint="eastAsia" w:ascii="仿宋_GB2312" w:eastAsia="仿宋_GB2312"/>
                <w:color w:val="000000"/>
                <w:kern w:val="0"/>
                <w:sz w:val="24"/>
              </w:rPr>
              <w:t>教育行政部门</w:t>
            </w:r>
            <w:r>
              <w:rPr>
                <w:rFonts w:hint="eastAsia" w:ascii="仿宋_GB2312" w:hAnsi="宋体" w:eastAsia="仿宋_GB2312" w:cs="宋体"/>
                <w:color w:val="000000"/>
                <w:kern w:val="0"/>
                <w:sz w:val="24"/>
              </w:rPr>
              <w:t>、相关高等职业院校</w:t>
            </w:r>
          </w:p>
        </w:tc>
        <w:tc>
          <w:tcPr>
            <w:tcW w:w="2128"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eastAsia="仿宋_GB2312"/>
                <w:color w:val="000000"/>
                <w:kern w:val="0"/>
                <w:sz w:val="24"/>
              </w:rPr>
              <w:t>2016</w:t>
            </w:r>
            <w:r>
              <w:rPr>
                <w:rFonts w:hint="eastAsia" w:ascii="仿宋_GB2312" w:hAnsi="宋体" w:eastAsia="仿宋_GB2312" w:cs="宋体"/>
                <w:color w:val="000000"/>
                <w:kern w:val="0"/>
                <w:sz w:val="24"/>
              </w:rPr>
              <w:t>年出台措施，持续推进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5" w:hRule="atLeast"/>
          <w:jc w:val="center"/>
        </w:trPr>
        <w:tc>
          <w:tcPr>
            <w:tcW w:w="1416" w:type="dxa"/>
            <w:shd w:val="clear" w:color="auto" w:fill="EEECE1"/>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XM-12</w:t>
            </w:r>
          </w:p>
        </w:tc>
        <w:tc>
          <w:tcPr>
            <w:tcW w:w="4101"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与行业联合召开行业职业教育工作会议（</w:t>
            </w:r>
            <w:r>
              <w:rPr>
                <w:rFonts w:hint="eastAsia" w:ascii="仿宋_GB2312" w:eastAsia="仿宋_GB2312"/>
                <w:color w:val="000000"/>
                <w:kern w:val="0"/>
                <w:sz w:val="24"/>
              </w:rPr>
              <w:t>5</w:t>
            </w:r>
            <w:r>
              <w:rPr>
                <w:rFonts w:hint="eastAsia" w:ascii="仿宋_GB2312" w:hAnsi="宋体" w:eastAsia="仿宋_GB2312" w:cs="宋体"/>
                <w:color w:val="000000"/>
                <w:kern w:val="0"/>
                <w:sz w:val="24"/>
              </w:rPr>
              <w:t>个以上），联合制定行业职业教育改革发展指导意见</w:t>
            </w:r>
          </w:p>
        </w:tc>
        <w:tc>
          <w:tcPr>
            <w:tcW w:w="1896"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教育部（职成司）、相关行业组织</w:t>
            </w:r>
          </w:p>
        </w:tc>
        <w:tc>
          <w:tcPr>
            <w:tcW w:w="2128"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eastAsia="仿宋_GB2312"/>
                <w:color w:val="000000"/>
                <w:kern w:val="0"/>
                <w:sz w:val="24"/>
              </w:rPr>
              <w:t>2018</w:t>
            </w:r>
            <w:r>
              <w:rPr>
                <w:rFonts w:hint="eastAsia" w:ascii="仿宋_GB2312" w:hAnsi="宋体" w:eastAsia="仿宋_GB2312" w:cs="宋体"/>
                <w:color w:val="000000"/>
                <w:kern w:val="0"/>
                <w:sz w:val="24"/>
              </w:rPr>
              <w:t>年底前完成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jc w:val="center"/>
        </w:trPr>
        <w:tc>
          <w:tcPr>
            <w:tcW w:w="1416" w:type="dxa"/>
            <w:shd w:val="clear" w:color="auto" w:fill="EEECE1"/>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XM-13</w:t>
            </w:r>
          </w:p>
        </w:tc>
        <w:tc>
          <w:tcPr>
            <w:tcW w:w="4101"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发布行业人才需求预测和专业设置指导报告（40个左右）</w:t>
            </w:r>
          </w:p>
        </w:tc>
        <w:tc>
          <w:tcPr>
            <w:tcW w:w="1896"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相关行业职业教育教学指导委员会</w:t>
            </w:r>
          </w:p>
        </w:tc>
        <w:tc>
          <w:tcPr>
            <w:tcW w:w="2128"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eastAsia="仿宋_GB2312"/>
                <w:color w:val="000000"/>
                <w:kern w:val="0"/>
                <w:sz w:val="24"/>
              </w:rPr>
              <w:t>2018</w:t>
            </w:r>
            <w:r>
              <w:rPr>
                <w:rFonts w:hint="eastAsia" w:ascii="仿宋_GB2312" w:hAnsi="宋体" w:eastAsia="仿宋_GB2312" w:cs="宋体"/>
                <w:color w:val="000000"/>
                <w:kern w:val="0"/>
                <w:sz w:val="24"/>
              </w:rPr>
              <w:t>年底前完成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jc w:val="center"/>
        </w:trPr>
        <w:tc>
          <w:tcPr>
            <w:tcW w:w="1416" w:type="dxa"/>
            <w:shd w:val="clear" w:color="auto" w:fill="EEECE1"/>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XM-14</w:t>
            </w:r>
          </w:p>
        </w:tc>
        <w:tc>
          <w:tcPr>
            <w:tcW w:w="4101" w:type="dxa"/>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研制“关于进一步推进社区教育改革发展的意见”；公布一批全国社区教育实验区和示范区</w:t>
            </w:r>
          </w:p>
        </w:tc>
        <w:tc>
          <w:tcPr>
            <w:tcW w:w="1896" w:type="dxa"/>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教育部（职成司）</w:t>
            </w:r>
          </w:p>
        </w:tc>
        <w:tc>
          <w:tcPr>
            <w:tcW w:w="2128" w:type="dxa"/>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2016年底前出台意见，持续推进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1" w:hRule="atLeast"/>
          <w:jc w:val="center"/>
        </w:trPr>
        <w:tc>
          <w:tcPr>
            <w:tcW w:w="9541" w:type="dxa"/>
            <w:gridSpan w:val="4"/>
            <w:shd w:val="clear" w:color="auto" w:fill="auto"/>
            <w:vAlign w:val="center"/>
          </w:tcPr>
          <w:p>
            <w:pPr>
              <w:widowControl/>
              <w:snapToGrid w:val="0"/>
              <w:spacing w:line="240" w:lineRule="atLeast"/>
              <w:jc w:val="center"/>
              <w:rPr>
                <w:rFonts w:ascii="黑体" w:hAnsi="黑体" w:eastAsia="黑体" w:cs="宋体"/>
                <w:color w:val="000000"/>
                <w:kern w:val="0"/>
                <w:sz w:val="24"/>
              </w:rPr>
            </w:pPr>
            <w:r>
              <w:rPr>
                <w:rFonts w:hint="eastAsia" w:ascii="黑体" w:hAnsi="黑体" w:eastAsia="黑体" w:cs="宋体"/>
                <w:color w:val="000000"/>
                <w:kern w:val="0"/>
                <w:sz w:val="24"/>
              </w:rPr>
              <w:t>三、加强技术技能积累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3" w:hRule="atLeast"/>
          <w:jc w:val="center"/>
        </w:trPr>
        <w:tc>
          <w:tcPr>
            <w:tcW w:w="1416" w:type="dxa"/>
            <w:tcBorders>
              <w:bottom w:val="single" w:color="auto" w:sz="4" w:space="0"/>
            </w:tcBorders>
            <w:shd w:val="clear" w:color="auto" w:fill="EEECE1"/>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XM-15</w:t>
            </w:r>
          </w:p>
        </w:tc>
        <w:tc>
          <w:tcPr>
            <w:tcW w:w="4101"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开展现代学徒制试点（500个左右），校企共建以现代学徒制培养为主的特色学院</w:t>
            </w:r>
          </w:p>
        </w:tc>
        <w:tc>
          <w:tcPr>
            <w:tcW w:w="1896"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省级</w:t>
            </w:r>
            <w:r>
              <w:rPr>
                <w:rFonts w:hint="eastAsia" w:ascii="仿宋_GB2312" w:eastAsia="仿宋_GB2312"/>
                <w:color w:val="000000"/>
                <w:kern w:val="0"/>
                <w:sz w:val="24"/>
              </w:rPr>
              <w:t>教育行政部门</w:t>
            </w:r>
            <w:r>
              <w:rPr>
                <w:rFonts w:hint="eastAsia" w:ascii="仿宋_GB2312" w:hAnsi="宋体" w:eastAsia="仿宋_GB2312" w:cs="宋体"/>
                <w:color w:val="000000"/>
                <w:kern w:val="0"/>
                <w:sz w:val="24"/>
              </w:rPr>
              <w:t>、高等职业院校</w:t>
            </w:r>
          </w:p>
        </w:tc>
        <w:tc>
          <w:tcPr>
            <w:tcW w:w="2128"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eastAsia="仿宋_GB2312"/>
                <w:color w:val="000000"/>
                <w:kern w:val="0"/>
                <w:sz w:val="24"/>
              </w:rPr>
              <w:t>2016</w:t>
            </w:r>
            <w:r>
              <w:rPr>
                <w:rFonts w:hint="eastAsia" w:ascii="仿宋_GB2312" w:hAnsi="宋体" w:eastAsia="仿宋_GB2312" w:cs="宋体"/>
                <w:color w:val="000000"/>
                <w:kern w:val="0"/>
                <w:sz w:val="24"/>
              </w:rPr>
              <w:t>年出台措施，</w:t>
            </w:r>
            <w:r>
              <w:rPr>
                <w:rFonts w:hint="eastAsia" w:ascii="仿宋_GB2312" w:eastAsia="仿宋_GB2312"/>
                <w:color w:val="000000"/>
                <w:kern w:val="0"/>
                <w:sz w:val="24"/>
              </w:rPr>
              <w:t>2018</w:t>
            </w:r>
            <w:r>
              <w:rPr>
                <w:rFonts w:hint="eastAsia" w:ascii="仿宋_GB2312" w:hAnsi="宋体" w:eastAsia="仿宋_GB2312" w:cs="宋体"/>
                <w:color w:val="000000"/>
                <w:kern w:val="0"/>
                <w:sz w:val="24"/>
              </w:rPr>
              <w:t>年底前完成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 w:hRule="atLeast"/>
          <w:jc w:val="center"/>
        </w:trPr>
        <w:tc>
          <w:tcPr>
            <w:tcW w:w="1416" w:type="dxa"/>
            <w:tcBorders>
              <w:top w:val="single" w:color="auto" w:sz="4" w:space="0"/>
            </w:tcBorders>
            <w:shd w:val="clear" w:color="auto" w:fill="EEECE1"/>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XM-16</w:t>
            </w:r>
          </w:p>
        </w:tc>
        <w:tc>
          <w:tcPr>
            <w:tcW w:w="4101"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以市场为导向多方共建应用技术协同创新中心（500个左右）</w:t>
            </w:r>
          </w:p>
        </w:tc>
        <w:tc>
          <w:tcPr>
            <w:tcW w:w="1896"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省级</w:t>
            </w:r>
            <w:r>
              <w:rPr>
                <w:rFonts w:hint="eastAsia" w:ascii="仿宋_GB2312" w:eastAsia="仿宋_GB2312"/>
                <w:color w:val="000000"/>
                <w:kern w:val="0"/>
                <w:sz w:val="24"/>
              </w:rPr>
              <w:t>教育行政部门</w:t>
            </w:r>
            <w:r>
              <w:rPr>
                <w:rFonts w:hint="eastAsia" w:ascii="仿宋_GB2312" w:hAnsi="宋体" w:eastAsia="仿宋_GB2312" w:cs="宋体"/>
                <w:color w:val="000000"/>
                <w:kern w:val="0"/>
                <w:sz w:val="24"/>
              </w:rPr>
              <w:t>、高等职业院校</w:t>
            </w:r>
          </w:p>
        </w:tc>
        <w:tc>
          <w:tcPr>
            <w:tcW w:w="2128"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eastAsia="仿宋_GB2312"/>
                <w:color w:val="000000"/>
                <w:kern w:val="0"/>
                <w:sz w:val="24"/>
              </w:rPr>
              <w:t>2016</w:t>
            </w:r>
            <w:r>
              <w:rPr>
                <w:rFonts w:hint="eastAsia" w:ascii="仿宋_GB2312" w:hAnsi="宋体" w:eastAsia="仿宋_GB2312" w:cs="宋体"/>
                <w:color w:val="000000"/>
                <w:kern w:val="0"/>
                <w:sz w:val="24"/>
              </w:rPr>
              <w:t>年出台措施，2018年底前完成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6" w:hRule="atLeast"/>
          <w:jc w:val="center"/>
        </w:trPr>
        <w:tc>
          <w:tcPr>
            <w:tcW w:w="1416" w:type="dxa"/>
            <w:tcBorders>
              <w:bottom w:val="single" w:color="auto" w:sz="4" w:space="0"/>
            </w:tcBorders>
            <w:shd w:val="clear" w:color="auto" w:fill="EEECE1"/>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XM-17</w:t>
            </w:r>
          </w:p>
        </w:tc>
        <w:tc>
          <w:tcPr>
            <w:tcW w:w="4101"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与技艺大师、非物质文化遗产传承人等合作建立技能大师工作室（100个左右）</w:t>
            </w:r>
          </w:p>
        </w:tc>
        <w:tc>
          <w:tcPr>
            <w:tcW w:w="1896"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省级</w:t>
            </w:r>
            <w:r>
              <w:rPr>
                <w:rFonts w:hint="eastAsia" w:ascii="仿宋_GB2312" w:eastAsia="仿宋_GB2312"/>
                <w:color w:val="000000"/>
                <w:kern w:val="0"/>
                <w:sz w:val="24"/>
              </w:rPr>
              <w:t>教育行政部门</w:t>
            </w:r>
            <w:r>
              <w:rPr>
                <w:rFonts w:hint="eastAsia" w:ascii="仿宋_GB2312" w:hAnsi="宋体" w:eastAsia="仿宋_GB2312" w:cs="宋体"/>
                <w:color w:val="000000"/>
                <w:kern w:val="0"/>
                <w:sz w:val="24"/>
              </w:rPr>
              <w:t>、相关行指委、高等职业院校</w:t>
            </w:r>
          </w:p>
        </w:tc>
        <w:tc>
          <w:tcPr>
            <w:tcW w:w="2128" w:type="dxa"/>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2016</w:t>
            </w:r>
            <w:r>
              <w:rPr>
                <w:rFonts w:hint="eastAsia" w:ascii="仿宋_GB2312" w:hAnsi="宋体" w:eastAsia="仿宋_GB2312" w:cs="宋体"/>
                <w:color w:val="000000"/>
                <w:kern w:val="0"/>
                <w:sz w:val="24"/>
              </w:rPr>
              <w:t>年出台措施，2018年底前完成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3" w:hRule="atLeast"/>
          <w:jc w:val="center"/>
        </w:trPr>
        <w:tc>
          <w:tcPr>
            <w:tcW w:w="1416" w:type="dxa"/>
            <w:shd w:val="clear" w:color="auto" w:fill="EEECE1"/>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XM-18</w:t>
            </w:r>
          </w:p>
        </w:tc>
        <w:tc>
          <w:tcPr>
            <w:tcW w:w="4101"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开发建设一批创新创业教育专门课程（群）</w:t>
            </w:r>
          </w:p>
        </w:tc>
        <w:tc>
          <w:tcPr>
            <w:tcW w:w="1896"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省级</w:t>
            </w:r>
            <w:r>
              <w:rPr>
                <w:rFonts w:hint="eastAsia" w:ascii="仿宋_GB2312" w:eastAsia="仿宋_GB2312"/>
                <w:color w:val="000000"/>
                <w:kern w:val="0"/>
                <w:sz w:val="24"/>
              </w:rPr>
              <w:t>教育行政部门</w:t>
            </w:r>
            <w:r>
              <w:rPr>
                <w:rFonts w:hint="eastAsia" w:ascii="仿宋_GB2312" w:hAnsi="宋体" w:eastAsia="仿宋_GB2312" w:cs="宋体"/>
                <w:color w:val="000000"/>
                <w:kern w:val="0"/>
                <w:sz w:val="24"/>
              </w:rPr>
              <w:t>、高等职业院校</w:t>
            </w:r>
          </w:p>
        </w:tc>
        <w:tc>
          <w:tcPr>
            <w:tcW w:w="2128" w:type="dxa"/>
            <w:shd w:val="clear" w:color="auto" w:fill="auto"/>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2018</w:t>
            </w:r>
            <w:r>
              <w:rPr>
                <w:rFonts w:hint="eastAsia" w:ascii="仿宋_GB2312" w:hAnsi="宋体" w:eastAsia="仿宋_GB2312" w:cs="宋体"/>
                <w:color w:val="000000"/>
                <w:kern w:val="0"/>
                <w:sz w:val="24"/>
              </w:rPr>
              <w:t>年底前完成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4" w:hRule="atLeast"/>
          <w:jc w:val="center"/>
        </w:trPr>
        <w:tc>
          <w:tcPr>
            <w:tcW w:w="1416" w:type="dxa"/>
            <w:shd w:val="clear" w:color="auto" w:fill="EEECE1"/>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XM-19</w:t>
            </w:r>
          </w:p>
        </w:tc>
        <w:tc>
          <w:tcPr>
            <w:tcW w:w="4101"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新组建</w:t>
            </w:r>
            <w:r>
              <w:rPr>
                <w:rFonts w:hint="eastAsia" w:ascii="仿宋_GB2312" w:eastAsia="仿宋_GB2312"/>
                <w:color w:val="000000"/>
                <w:kern w:val="0"/>
                <w:sz w:val="24"/>
              </w:rPr>
              <w:t>一批</w:t>
            </w:r>
            <w:r>
              <w:rPr>
                <w:rFonts w:hint="eastAsia" w:ascii="仿宋_GB2312" w:hAnsi="宋体" w:eastAsia="仿宋_GB2312" w:cs="宋体"/>
                <w:color w:val="000000"/>
                <w:kern w:val="0"/>
                <w:sz w:val="24"/>
              </w:rPr>
              <w:t>农业职教集团；省部共建一批国家涉农职业教育改革试验区</w:t>
            </w:r>
          </w:p>
        </w:tc>
        <w:tc>
          <w:tcPr>
            <w:tcW w:w="1896"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教育部（职成司）、有关省级教育行政部门、有关行业</w:t>
            </w:r>
          </w:p>
        </w:tc>
        <w:tc>
          <w:tcPr>
            <w:tcW w:w="2128"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eastAsia="仿宋_GB2312"/>
                <w:color w:val="000000"/>
                <w:kern w:val="0"/>
                <w:sz w:val="24"/>
              </w:rPr>
              <w:t>2018</w:t>
            </w:r>
            <w:r>
              <w:rPr>
                <w:rFonts w:hint="eastAsia" w:ascii="仿宋_GB2312" w:hAnsi="宋体" w:eastAsia="仿宋_GB2312" w:cs="宋体"/>
                <w:color w:val="000000"/>
                <w:kern w:val="0"/>
                <w:sz w:val="24"/>
              </w:rPr>
              <w:t>年底前完成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7" w:hRule="atLeast"/>
          <w:jc w:val="center"/>
        </w:trPr>
        <w:tc>
          <w:tcPr>
            <w:tcW w:w="1416" w:type="dxa"/>
            <w:shd w:val="clear" w:color="auto" w:fill="EEECE1"/>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XM-20</w:t>
            </w:r>
          </w:p>
        </w:tc>
        <w:tc>
          <w:tcPr>
            <w:tcW w:w="4101"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建设</w:t>
            </w:r>
            <w:r>
              <w:rPr>
                <w:rFonts w:hint="eastAsia" w:ascii="仿宋_GB2312" w:eastAsia="仿宋_GB2312"/>
                <w:color w:val="000000"/>
                <w:kern w:val="0"/>
                <w:sz w:val="24"/>
              </w:rPr>
              <w:t>一批</w:t>
            </w:r>
            <w:r>
              <w:rPr>
                <w:rFonts w:hint="eastAsia" w:ascii="仿宋_GB2312" w:hAnsi="宋体" w:eastAsia="仿宋_GB2312" w:cs="宋体"/>
                <w:color w:val="000000"/>
                <w:kern w:val="0"/>
                <w:sz w:val="24"/>
              </w:rPr>
              <w:t>全国职业院校民族文化传承与创新示范专业点（100个左右）</w:t>
            </w:r>
          </w:p>
        </w:tc>
        <w:tc>
          <w:tcPr>
            <w:tcW w:w="1896"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教育部（职成司）、省级</w:t>
            </w:r>
            <w:r>
              <w:rPr>
                <w:rFonts w:hint="eastAsia" w:ascii="仿宋_GB2312" w:eastAsia="仿宋_GB2312"/>
                <w:color w:val="000000"/>
                <w:kern w:val="0"/>
                <w:sz w:val="24"/>
              </w:rPr>
              <w:t>教育行政部门</w:t>
            </w:r>
          </w:p>
        </w:tc>
        <w:tc>
          <w:tcPr>
            <w:tcW w:w="2128" w:type="dxa"/>
            <w:shd w:val="clear" w:color="auto" w:fill="auto"/>
            <w:vAlign w:val="center"/>
          </w:tcPr>
          <w:p>
            <w:pPr>
              <w:widowControl/>
              <w:snapToGrid w:val="0"/>
              <w:spacing w:line="240" w:lineRule="atLeast"/>
              <w:rPr>
                <w:rFonts w:hint="eastAsia" w:ascii="仿宋_GB2312" w:hAnsi="宋体" w:eastAsia="仿宋_GB2312" w:cs="宋体"/>
                <w:color w:val="000000"/>
                <w:kern w:val="0"/>
                <w:sz w:val="24"/>
              </w:rPr>
            </w:pPr>
            <w:r>
              <w:rPr>
                <w:rFonts w:hint="eastAsia" w:ascii="仿宋_GB2312" w:eastAsia="仿宋_GB2312"/>
                <w:color w:val="000000"/>
                <w:kern w:val="0"/>
                <w:sz w:val="24"/>
              </w:rPr>
              <w:t>2018</w:t>
            </w:r>
            <w:r>
              <w:rPr>
                <w:rFonts w:hint="eastAsia" w:ascii="仿宋_GB2312" w:hAnsi="宋体" w:eastAsia="仿宋_GB2312" w:cs="宋体"/>
                <w:color w:val="000000"/>
                <w:kern w:val="0"/>
                <w:sz w:val="24"/>
              </w:rPr>
              <w:t>年底前完成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9" w:hRule="atLeast"/>
          <w:jc w:val="center"/>
        </w:trPr>
        <w:tc>
          <w:tcPr>
            <w:tcW w:w="9541" w:type="dxa"/>
            <w:gridSpan w:val="4"/>
            <w:vAlign w:val="center"/>
          </w:tcPr>
          <w:p>
            <w:pPr>
              <w:widowControl/>
              <w:snapToGrid w:val="0"/>
              <w:spacing w:line="240" w:lineRule="atLeast"/>
              <w:jc w:val="center"/>
              <w:rPr>
                <w:rFonts w:ascii="黑体" w:hAnsi="黑体" w:eastAsia="黑体" w:cs="宋体"/>
                <w:color w:val="000000"/>
                <w:kern w:val="0"/>
                <w:sz w:val="24"/>
              </w:rPr>
            </w:pPr>
            <w:r>
              <w:rPr>
                <w:rFonts w:hint="eastAsia" w:ascii="黑体" w:hAnsi="黑体" w:eastAsia="黑体" w:cs="宋体"/>
                <w:color w:val="000000"/>
                <w:kern w:val="0"/>
                <w:sz w:val="24"/>
              </w:rPr>
              <w:t>四、完善质量保障机制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1416" w:type="dxa"/>
            <w:shd w:val="clear" w:color="auto" w:fill="EEECE1"/>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XM-21</w:t>
            </w:r>
          </w:p>
        </w:tc>
        <w:tc>
          <w:tcPr>
            <w:tcW w:w="4101" w:type="dxa"/>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支持对用人单位影响力大的行业组织开展专业层面的教学诊改试点</w:t>
            </w:r>
          </w:p>
        </w:tc>
        <w:tc>
          <w:tcPr>
            <w:tcW w:w="1896" w:type="dxa"/>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教育部（职成司）、相关行业</w:t>
            </w:r>
          </w:p>
        </w:tc>
        <w:tc>
          <w:tcPr>
            <w:tcW w:w="2128" w:type="dxa"/>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2016年开始试点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9541" w:type="dxa"/>
            <w:gridSpan w:val="4"/>
            <w:vAlign w:val="center"/>
          </w:tcPr>
          <w:p>
            <w:pPr>
              <w:widowControl/>
              <w:snapToGrid w:val="0"/>
              <w:spacing w:line="240" w:lineRule="atLeast"/>
              <w:jc w:val="center"/>
              <w:rPr>
                <w:rFonts w:ascii="黑体" w:hAnsi="黑体" w:eastAsia="黑体" w:cs="宋体"/>
                <w:color w:val="000000"/>
                <w:kern w:val="0"/>
                <w:sz w:val="24"/>
              </w:rPr>
            </w:pPr>
            <w:r>
              <w:rPr>
                <w:rFonts w:hint="eastAsia" w:ascii="黑体" w:hAnsi="黑体" w:eastAsia="黑体" w:cs="宋体"/>
                <w:color w:val="000000"/>
                <w:kern w:val="0"/>
                <w:sz w:val="24"/>
              </w:rPr>
              <w:t>五、提升思想政治教育质量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0" w:hRule="atLeast"/>
          <w:jc w:val="center"/>
        </w:trPr>
        <w:tc>
          <w:tcPr>
            <w:tcW w:w="1416" w:type="dxa"/>
            <w:shd w:val="clear" w:color="auto" w:fill="EEECE1"/>
            <w:vAlign w:val="center"/>
          </w:tcPr>
          <w:p>
            <w:pPr>
              <w:widowControl/>
              <w:snapToGrid w:val="0"/>
              <w:spacing w:line="240" w:lineRule="atLeast"/>
              <w:jc w:val="center"/>
              <w:rPr>
                <w:rFonts w:hint="eastAsia" w:ascii="仿宋_GB2312" w:eastAsia="仿宋_GB2312"/>
                <w:color w:val="000000"/>
                <w:kern w:val="0"/>
                <w:sz w:val="24"/>
              </w:rPr>
            </w:pPr>
            <w:r>
              <w:rPr>
                <w:rFonts w:hint="eastAsia" w:ascii="仿宋_GB2312" w:eastAsia="仿宋_GB2312"/>
                <w:color w:val="000000"/>
                <w:kern w:val="0"/>
                <w:sz w:val="24"/>
              </w:rPr>
              <w:t>XM-22</w:t>
            </w:r>
          </w:p>
        </w:tc>
        <w:tc>
          <w:tcPr>
            <w:tcW w:w="4101" w:type="dxa"/>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深入开展中国特色社会主义和中国梦教育，在广大师生中积极培育和践行社会主义核心价值观，遴选一批特色校园文化品牌（100个左右）</w:t>
            </w:r>
          </w:p>
        </w:tc>
        <w:tc>
          <w:tcPr>
            <w:tcW w:w="1896" w:type="dxa"/>
            <w:vAlign w:val="center"/>
          </w:tcPr>
          <w:p>
            <w:pPr>
              <w:widowControl/>
              <w:snapToGrid w:val="0"/>
              <w:spacing w:line="240" w:lineRule="atLeast"/>
              <w:rPr>
                <w:rFonts w:hint="eastAsia" w:ascii="仿宋_GB2312" w:eastAsia="仿宋_GB2312"/>
                <w:color w:val="000000"/>
                <w:kern w:val="0"/>
                <w:sz w:val="24"/>
              </w:rPr>
            </w:pPr>
            <w:r>
              <w:rPr>
                <w:rFonts w:hint="eastAsia" w:ascii="仿宋_GB2312" w:eastAsia="仿宋_GB2312"/>
                <w:color w:val="000000"/>
                <w:kern w:val="0"/>
                <w:sz w:val="24"/>
              </w:rPr>
              <w:t>教育部（思政司）、高等职业院校</w:t>
            </w:r>
          </w:p>
        </w:tc>
        <w:tc>
          <w:tcPr>
            <w:tcW w:w="2128" w:type="dxa"/>
            <w:vAlign w:val="center"/>
          </w:tcPr>
          <w:p>
            <w:pPr>
              <w:widowControl/>
              <w:snapToGrid w:val="0"/>
              <w:spacing w:line="240" w:lineRule="atLeast"/>
              <w:jc w:val="left"/>
              <w:rPr>
                <w:rFonts w:hint="eastAsia" w:ascii="仿宋_GB2312" w:eastAsia="仿宋_GB2312"/>
                <w:color w:val="000000"/>
                <w:kern w:val="0"/>
                <w:sz w:val="24"/>
              </w:rPr>
            </w:pPr>
            <w:r>
              <w:rPr>
                <w:rFonts w:hint="eastAsia" w:ascii="仿宋_GB2312" w:eastAsia="仿宋_GB2312"/>
                <w:color w:val="000000"/>
                <w:kern w:val="0"/>
                <w:sz w:val="24"/>
              </w:rPr>
              <w:t>2018年底前完成</w:t>
            </w:r>
          </w:p>
        </w:tc>
      </w:tr>
    </w:tbl>
    <w:p>
      <w:pPr/>
    </w:p>
    <w:sectPr>
      <w:footerReference r:id="rId6" w:type="default"/>
      <w:pgSz w:w="11906" w:h="16838"/>
      <w:pgMar w:top="1440" w:right="1803" w:bottom="1440" w:left="1803" w:header="851" w:footer="992" w:gutter="0"/>
      <w:paperSrc/>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altName w:val="Segoe UI"/>
    <w:panose1 w:val="020F0502020204030204"/>
    <w:charset w:val="00"/>
    <w:family w:val="decorative"/>
    <w:pitch w:val="default"/>
    <w:sig w:usb0="00000000" w:usb1="00000000" w:usb2="00000001" w:usb3="00000000" w:csb0="0000019F" w:csb1="00000000"/>
  </w:font>
  <w:font w:name="Segoe UI">
    <w:panose1 w:val="020B0502040204020203"/>
    <w:charset w:val="00"/>
    <w:family w:val="auto"/>
    <w:pitch w:val="default"/>
    <w:sig w:usb0="E10022FF" w:usb1="C000E47F" w:usb2="00000029" w:usb3="00000000" w:csb0="200001DF" w:csb1="20000000"/>
  </w:font>
  <w:font w:name="黑体">
    <w:panose1 w:val="02010609060101010101"/>
    <w:charset w:val="86"/>
    <w:family w:val="swiss"/>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 w:name="仿宋_GB2312">
    <w:altName w:val="仿宋"/>
    <w:panose1 w:val="00000000000000000000"/>
    <w:charset w:val="86"/>
    <w:family w:val="swiss"/>
    <w:pitch w:val="default"/>
    <w:sig w:usb0="00000000" w:usb1="00000000" w:usb2="00000010" w:usb3="00000000" w:csb0="00040000" w:csb1="00000000"/>
  </w:font>
  <w:font w:name="Courier New">
    <w:panose1 w:val="02070309020205020404"/>
    <w:charset w:val="00"/>
    <w:family w:val="swiss"/>
    <w:pitch w:val="default"/>
    <w:sig w:usb0="E0002AFF" w:usb1="C0007843" w:usb2="00000009" w:usb3="00000000" w:csb0="400001FF" w:csb1="FFFF0000"/>
  </w:font>
  <w:font w:name="Verdana">
    <w:panose1 w:val="020B0604030504040204"/>
    <w:charset w:val="00"/>
    <w:family w:val="decorative"/>
    <w:pitch w:val="default"/>
    <w:sig w:usb0="A10006FF" w:usb1="4000205B" w:usb2="0000001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swiss"/>
    <w:pitch w:val="default"/>
    <w:sig w:usb0="800002BF" w:usb1="38CF7CFA" w:usb2="00000016" w:usb3="00000000" w:csb0="00040001" w:csb1="00000000"/>
  </w:font>
  <w:font w:name="楷体_GB2312">
    <w:altName w:val="楷体"/>
    <w:panose1 w:val="00000000000000000000"/>
    <w:charset w:val="86"/>
    <w:family w:val="swiss"/>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decorative"/>
    <w:pitch w:val="default"/>
    <w:sig w:usb0="E10022FF" w:usb1="C000E47F" w:usb2="00000029" w:usb3="00000000" w:csb0="200001DF" w:csb1="2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12"/>
      <w:jc w:val="center"/>
    </w:pPr>
    <w:r>
      <w:rPr>
        <w:rFonts w:hint="eastAsia"/>
      </w:rPr>
      <w:t>—</w:t>
    </w: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II</w:t>
    </w:r>
    <w:r>
      <w:rPr>
        <w:sz w:val="21"/>
        <w:szCs w:val="21"/>
      </w:rPr>
      <w:fldChar w:fldCharType="end"/>
    </w:r>
    <w:r>
      <w:rPr>
        <w:rFonts w:hint="eastAsia"/>
      </w:rPr>
      <w:t>—</w:t>
    </w:r>
  </w:p>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12"/>
      <w:jc w:val="center"/>
    </w:pPr>
    <w:r>
      <w:rPr>
        <w:rFonts w:hint="eastAsia"/>
      </w:rPr>
      <w:t>—</w:t>
    </w: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II</w:t>
    </w:r>
    <w:r>
      <w:rPr>
        <w:sz w:val="21"/>
        <w:szCs w:val="21"/>
      </w:rPr>
      <w:fldChar w:fldCharType="end"/>
    </w:r>
    <w:r>
      <w:rPr>
        <w:rFonts w:hint="eastAsia"/>
      </w:rPr>
      <w:t>—</w:t>
    </w:r>
  </w:p>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12"/>
      <w:jc w:val="center"/>
    </w:pPr>
    <w:r>
      <w:rPr>
        <w:rFonts w:hint="eastAsia"/>
      </w:rPr>
      <w:t>—</w:t>
    </w: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28</w:t>
    </w:r>
    <w:r>
      <w:rPr>
        <w:sz w:val="21"/>
        <w:szCs w:val="21"/>
      </w:rPr>
      <w:fldChar w:fldCharType="end"/>
    </w:r>
    <w:r>
      <w:rPr>
        <w:rFonts w:hint="eastAsia"/>
      </w:rPr>
      <w:t>—</w:t>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1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CDD"/>
    <w:rsid w:val="008A4CDD"/>
    <w:rsid w:val="009D1146"/>
    <w:rsid w:val="00BB6C2A"/>
    <w:rsid w:val="345F173D"/>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9"/>
    <w:pPr>
      <w:keepNext/>
      <w:keepLines/>
      <w:spacing w:before="340" w:after="330" w:line="578" w:lineRule="auto"/>
      <w:ind w:firstLine="250" w:firstLineChars="250"/>
      <w:outlineLvl w:val="0"/>
    </w:pPr>
    <w:rPr>
      <w:rFonts w:ascii="Calibri" w:hAnsi="Calibri" w:eastAsia="黑体"/>
      <w:bCs/>
      <w:kern w:val="44"/>
      <w:sz w:val="32"/>
      <w:szCs w:val="44"/>
      <w:lang w:val="zh-CN" w:eastAsia="zh-CN"/>
    </w:rPr>
  </w:style>
  <w:style w:type="paragraph" w:styleId="3">
    <w:name w:val="heading 2"/>
    <w:basedOn w:val="1"/>
    <w:next w:val="1"/>
    <w:link w:val="24"/>
    <w:qFormat/>
    <w:uiPriority w:val="0"/>
    <w:pPr>
      <w:keepNext/>
      <w:keepLines/>
      <w:spacing w:before="260" w:after="260" w:line="415" w:lineRule="auto"/>
      <w:ind w:firstLine="200" w:firstLineChars="200"/>
      <w:outlineLvl w:val="1"/>
    </w:pPr>
    <w:rPr>
      <w:rFonts w:ascii="Cambria" w:hAnsi="Cambria" w:eastAsia="楷体"/>
      <w:bCs/>
      <w:kern w:val="0"/>
      <w:sz w:val="32"/>
      <w:szCs w:val="32"/>
      <w:lang w:val="zh-CN" w:eastAsia="zh-CN"/>
    </w:rPr>
  </w:style>
  <w:style w:type="paragraph" w:styleId="4">
    <w:name w:val="heading 3"/>
    <w:basedOn w:val="1"/>
    <w:next w:val="1"/>
    <w:link w:val="25"/>
    <w:qFormat/>
    <w:uiPriority w:val="0"/>
    <w:pPr>
      <w:keepNext/>
      <w:keepLines/>
      <w:spacing w:before="20" w:after="20" w:line="415" w:lineRule="auto"/>
      <w:ind w:firstLine="200" w:firstLineChars="200"/>
      <w:outlineLvl w:val="2"/>
    </w:pPr>
    <w:rPr>
      <w:rFonts w:ascii="Calibri" w:hAnsi="Calibri" w:eastAsia="仿宋_GB2312"/>
      <w:b/>
      <w:bCs/>
      <w:kern w:val="0"/>
      <w:sz w:val="32"/>
      <w:szCs w:val="32"/>
      <w:lang w:val="zh-CN" w:eastAsia="zh-CN"/>
    </w:rPr>
  </w:style>
  <w:style w:type="character" w:default="1" w:styleId="18">
    <w:name w:val="Default Paragraph Font"/>
    <w:unhideWhenUsed/>
    <w:uiPriority w:val="1"/>
  </w:style>
  <w:style w:type="table" w:default="1" w:styleId="22">
    <w:name w:val="Normal Table"/>
    <w:unhideWhenUsed/>
    <w:qFormat/>
    <w:uiPriority w:val="99"/>
    <w:tblPr>
      <w:tblLayout w:type="fixed"/>
      <w:tblCellMar>
        <w:top w:w="0" w:type="dxa"/>
        <w:left w:w="108" w:type="dxa"/>
        <w:bottom w:w="0" w:type="dxa"/>
        <w:right w:w="108" w:type="dxa"/>
      </w:tblCellMar>
    </w:tblPr>
  </w:style>
  <w:style w:type="paragraph" w:styleId="5">
    <w:name w:val="annotation subject"/>
    <w:basedOn w:val="6"/>
    <w:next w:val="6"/>
    <w:link w:val="35"/>
    <w:unhideWhenUsed/>
    <w:uiPriority w:val="99"/>
    <w:rPr>
      <w:b/>
      <w:bCs/>
    </w:rPr>
  </w:style>
  <w:style w:type="paragraph" w:styleId="6">
    <w:name w:val="annotation text"/>
    <w:basedOn w:val="1"/>
    <w:link w:val="34"/>
    <w:unhideWhenUsed/>
    <w:qFormat/>
    <w:uiPriority w:val="99"/>
    <w:pPr>
      <w:jc w:val="left"/>
    </w:pPr>
    <w:rPr>
      <w:lang w:val="zh-CN" w:eastAsia="zh-CN"/>
    </w:rPr>
  </w:style>
  <w:style w:type="paragraph" w:styleId="7">
    <w:name w:val="Document Map"/>
    <w:basedOn w:val="1"/>
    <w:link w:val="38"/>
    <w:unhideWhenUsed/>
    <w:uiPriority w:val="99"/>
    <w:rPr>
      <w:rFonts w:ascii="宋体"/>
      <w:sz w:val="18"/>
      <w:szCs w:val="18"/>
      <w:lang w:val="zh-CN" w:eastAsia="zh-CN"/>
    </w:rPr>
  </w:style>
  <w:style w:type="paragraph" w:styleId="8">
    <w:name w:val="toc 3"/>
    <w:basedOn w:val="1"/>
    <w:next w:val="1"/>
    <w:unhideWhenUsed/>
    <w:uiPriority w:val="39"/>
    <w:pPr>
      <w:tabs>
        <w:tab w:val="right" w:leader="dot" w:pos="8296"/>
      </w:tabs>
      <w:adjustRightInd w:val="0"/>
      <w:snapToGrid w:val="0"/>
      <w:spacing w:line="370" w:lineRule="exact"/>
      <w:ind w:firstLine="480" w:firstLineChars="200"/>
    </w:pPr>
    <w:rPr>
      <w:sz w:val="24"/>
    </w:rPr>
  </w:style>
  <w:style w:type="paragraph" w:styleId="9">
    <w:name w:val="Plain Text"/>
    <w:basedOn w:val="1"/>
    <w:link w:val="33"/>
    <w:qFormat/>
    <w:uiPriority w:val="0"/>
    <w:rPr>
      <w:rFonts w:ascii="宋体" w:hAnsi="Courier New"/>
      <w:szCs w:val="21"/>
      <w:lang w:val="zh-CN" w:eastAsia="zh-CN"/>
    </w:rPr>
  </w:style>
  <w:style w:type="paragraph" w:styleId="10">
    <w:name w:val="Date"/>
    <w:basedOn w:val="1"/>
    <w:next w:val="1"/>
    <w:link w:val="39"/>
    <w:unhideWhenUsed/>
    <w:uiPriority w:val="99"/>
    <w:pPr>
      <w:ind w:left="100" w:leftChars="2500"/>
    </w:pPr>
    <w:rPr>
      <w:lang w:val="zh-CN" w:eastAsia="zh-CN"/>
    </w:rPr>
  </w:style>
  <w:style w:type="paragraph" w:styleId="11">
    <w:name w:val="Balloon Text"/>
    <w:basedOn w:val="1"/>
    <w:link w:val="32"/>
    <w:unhideWhenUsed/>
    <w:uiPriority w:val="99"/>
    <w:rPr>
      <w:sz w:val="18"/>
      <w:szCs w:val="18"/>
      <w:lang w:val="zh-CN" w:eastAsia="zh-CN"/>
    </w:rPr>
  </w:style>
  <w:style w:type="paragraph" w:styleId="12">
    <w:name w:val="footer"/>
    <w:basedOn w:val="1"/>
    <w:link w:val="28"/>
    <w:unhideWhenUsed/>
    <w:uiPriority w:val="99"/>
    <w:pPr>
      <w:tabs>
        <w:tab w:val="center" w:pos="4153"/>
        <w:tab w:val="right" w:pos="8306"/>
      </w:tabs>
      <w:snapToGrid w:val="0"/>
      <w:jc w:val="left"/>
    </w:pPr>
    <w:rPr>
      <w:sz w:val="18"/>
      <w:szCs w:val="18"/>
      <w:lang w:val="zh-CN" w:eastAsia="zh-CN"/>
    </w:rPr>
  </w:style>
  <w:style w:type="paragraph" w:styleId="13">
    <w:name w:val="header"/>
    <w:basedOn w:val="1"/>
    <w:link w:val="27"/>
    <w:unhideWhenUsed/>
    <w:uiPriority w:val="99"/>
    <w:pPr>
      <w:pBdr>
        <w:bottom w:val="single" w:color="auto" w:sz="6" w:space="1"/>
      </w:pBdr>
      <w:tabs>
        <w:tab w:val="center" w:pos="4153"/>
        <w:tab w:val="right" w:pos="8306"/>
      </w:tabs>
      <w:snapToGrid w:val="0"/>
      <w:jc w:val="center"/>
    </w:pPr>
    <w:rPr>
      <w:sz w:val="18"/>
      <w:szCs w:val="18"/>
      <w:lang w:val="zh-CN" w:eastAsia="zh-CN"/>
    </w:rPr>
  </w:style>
  <w:style w:type="paragraph" w:styleId="14">
    <w:name w:val="toc 1"/>
    <w:basedOn w:val="1"/>
    <w:next w:val="1"/>
    <w:unhideWhenUsed/>
    <w:uiPriority w:val="39"/>
    <w:pPr>
      <w:tabs>
        <w:tab w:val="right" w:leader="dot" w:pos="8296"/>
      </w:tabs>
      <w:adjustRightInd w:val="0"/>
      <w:snapToGrid w:val="0"/>
      <w:spacing w:line="370" w:lineRule="exact"/>
    </w:pPr>
    <w:rPr>
      <w:rFonts w:ascii="黑体" w:hAnsi="黑体" w:eastAsia="黑体"/>
      <w:b/>
      <w:sz w:val="28"/>
      <w:szCs w:val="28"/>
    </w:rPr>
  </w:style>
  <w:style w:type="paragraph" w:styleId="15">
    <w:name w:val="footnote text"/>
    <w:basedOn w:val="1"/>
    <w:link w:val="31"/>
    <w:unhideWhenUsed/>
    <w:uiPriority w:val="99"/>
    <w:pPr>
      <w:snapToGrid w:val="0"/>
      <w:jc w:val="left"/>
    </w:pPr>
    <w:rPr>
      <w:sz w:val="18"/>
      <w:szCs w:val="18"/>
      <w:lang w:val="zh-CN" w:eastAsia="zh-CN"/>
    </w:rPr>
  </w:style>
  <w:style w:type="paragraph" w:styleId="16">
    <w:name w:val="toc 2"/>
    <w:basedOn w:val="1"/>
    <w:next w:val="1"/>
    <w:unhideWhenUsed/>
    <w:uiPriority w:val="39"/>
    <w:pPr>
      <w:tabs>
        <w:tab w:val="right" w:leader="dot" w:pos="8296"/>
      </w:tabs>
      <w:adjustRightInd w:val="0"/>
      <w:snapToGrid w:val="0"/>
      <w:spacing w:line="370" w:lineRule="exact"/>
    </w:pPr>
    <w:rPr>
      <w:rFonts w:ascii="楷体" w:hAnsi="楷体" w:eastAsia="楷体"/>
      <w:b/>
      <w:bCs/>
      <w:sz w:val="28"/>
      <w:szCs w:val="28"/>
    </w:rPr>
  </w:style>
  <w:style w:type="paragraph" w:styleId="17">
    <w:name w:val="Normal (Web)"/>
    <w:basedOn w:val="1"/>
    <w:unhideWhenUsed/>
    <w:qFormat/>
    <w:uiPriority w:val="99"/>
    <w:pPr>
      <w:widowControl/>
      <w:jc w:val="left"/>
    </w:pPr>
    <w:rPr>
      <w:rFonts w:ascii="宋体" w:hAnsi="宋体" w:cs="宋体"/>
      <w:kern w:val="0"/>
      <w:sz w:val="14"/>
      <w:szCs w:val="14"/>
    </w:rPr>
  </w:style>
  <w:style w:type="character" w:styleId="19">
    <w:name w:val="Hyperlink"/>
    <w:unhideWhenUsed/>
    <w:uiPriority w:val="99"/>
    <w:rPr>
      <w:color w:val="0000FF"/>
      <w:u w:val="single"/>
    </w:rPr>
  </w:style>
  <w:style w:type="character" w:styleId="20">
    <w:name w:val="annotation reference"/>
    <w:unhideWhenUsed/>
    <w:qFormat/>
    <w:uiPriority w:val="99"/>
    <w:rPr>
      <w:sz w:val="21"/>
      <w:szCs w:val="21"/>
    </w:rPr>
  </w:style>
  <w:style w:type="character" w:styleId="21">
    <w:name w:val="footnote reference"/>
    <w:unhideWhenUsed/>
    <w:uiPriority w:val="99"/>
    <w:rPr>
      <w:vertAlign w:val="superscript"/>
    </w:rPr>
  </w:style>
  <w:style w:type="character" w:customStyle="1" w:styleId="23">
    <w:name w:val="标题 1 Char"/>
    <w:basedOn w:val="18"/>
    <w:link w:val="2"/>
    <w:qFormat/>
    <w:uiPriority w:val="9"/>
    <w:rPr>
      <w:rFonts w:ascii="Calibri" w:hAnsi="Calibri" w:eastAsia="黑体" w:cs="Times New Roman"/>
      <w:bCs/>
      <w:kern w:val="44"/>
      <w:sz w:val="32"/>
      <w:szCs w:val="44"/>
      <w:lang w:val="zh-CN" w:eastAsia="zh-CN"/>
    </w:rPr>
  </w:style>
  <w:style w:type="character" w:customStyle="1" w:styleId="24">
    <w:name w:val="标题 2 Char"/>
    <w:basedOn w:val="18"/>
    <w:link w:val="3"/>
    <w:uiPriority w:val="0"/>
    <w:rPr>
      <w:rFonts w:ascii="Cambria" w:hAnsi="Cambria" w:eastAsia="楷体" w:cs="Times New Roman"/>
      <w:bCs/>
      <w:kern w:val="0"/>
      <w:sz w:val="32"/>
      <w:szCs w:val="32"/>
      <w:lang w:val="zh-CN" w:eastAsia="zh-CN"/>
    </w:rPr>
  </w:style>
  <w:style w:type="character" w:customStyle="1" w:styleId="25">
    <w:name w:val="标题 3 Char"/>
    <w:basedOn w:val="18"/>
    <w:link w:val="4"/>
    <w:uiPriority w:val="0"/>
    <w:rPr>
      <w:rFonts w:ascii="Calibri" w:hAnsi="Calibri" w:eastAsia="仿宋_GB2312" w:cs="Times New Roman"/>
      <w:b/>
      <w:bCs/>
      <w:kern w:val="0"/>
      <w:sz w:val="32"/>
      <w:szCs w:val="32"/>
      <w:lang w:val="zh-CN" w:eastAsia="zh-CN"/>
    </w:rPr>
  </w:style>
  <w:style w:type="paragraph" w:customStyle="1" w:styleId="26">
    <w:name w:val="Char"/>
    <w:basedOn w:val="1"/>
    <w:uiPriority w:val="0"/>
    <w:rPr>
      <w:szCs w:val="21"/>
    </w:rPr>
  </w:style>
  <w:style w:type="character" w:customStyle="1" w:styleId="27">
    <w:name w:val="页眉 Char"/>
    <w:basedOn w:val="18"/>
    <w:link w:val="13"/>
    <w:uiPriority w:val="99"/>
    <w:rPr>
      <w:rFonts w:ascii="Times New Roman" w:hAnsi="Times New Roman" w:eastAsia="宋体" w:cs="Times New Roman"/>
      <w:sz w:val="18"/>
      <w:szCs w:val="18"/>
      <w:lang w:val="zh-CN" w:eastAsia="zh-CN"/>
    </w:rPr>
  </w:style>
  <w:style w:type="character" w:customStyle="1" w:styleId="28">
    <w:name w:val="页脚 Char"/>
    <w:basedOn w:val="18"/>
    <w:link w:val="12"/>
    <w:uiPriority w:val="99"/>
    <w:rPr>
      <w:rFonts w:ascii="Times New Roman" w:hAnsi="Times New Roman" w:eastAsia="宋体" w:cs="Times New Roman"/>
      <w:sz w:val="18"/>
      <w:szCs w:val="18"/>
      <w:lang w:val="zh-CN" w:eastAsia="zh-CN"/>
    </w:rPr>
  </w:style>
  <w:style w:type="paragraph" w:customStyle="1" w:styleId="29">
    <w:name w:val="List Paragraph"/>
    <w:basedOn w:val="1"/>
    <w:qFormat/>
    <w:uiPriority w:val="34"/>
    <w:pPr>
      <w:ind w:firstLine="420" w:firstLineChars="200"/>
    </w:pPr>
    <w:rPr>
      <w:rFonts w:ascii="Calibri" w:hAnsi="Calibri"/>
      <w:szCs w:val="22"/>
    </w:rPr>
  </w:style>
  <w:style w:type="paragraph" w:customStyle="1" w:styleId="30">
    <w:name w:val="TOC Heading"/>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31">
    <w:name w:val="脚注文本 Char"/>
    <w:basedOn w:val="18"/>
    <w:link w:val="15"/>
    <w:semiHidden/>
    <w:uiPriority w:val="99"/>
    <w:rPr>
      <w:rFonts w:ascii="Times New Roman" w:hAnsi="Times New Roman" w:eastAsia="宋体" w:cs="Times New Roman"/>
      <w:sz w:val="18"/>
      <w:szCs w:val="18"/>
      <w:lang w:val="zh-CN" w:eastAsia="zh-CN"/>
    </w:rPr>
  </w:style>
  <w:style w:type="character" w:customStyle="1" w:styleId="32">
    <w:name w:val="批注框文本 Char"/>
    <w:basedOn w:val="18"/>
    <w:link w:val="11"/>
    <w:semiHidden/>
    <w:qFormat/>
    <w:uiPriority w:val="99"/>
    <w:rPr>
      <w:rFonts w:ascii="Times New Roman" w:hAnsi="Times New Roman" w:eastAsia="宋体" w:cs="Times New Roman"/>
      <w:sz w:val="18"/>
      <w:szCs w:val="18"/>
      <w:lang w:val="zh-CN" w:eastAsia="zh-CN"/>
    </w:rPr>
  </w:style>
  <w:style w:type="character" w:customStyle="1" w:styleId="33">
    <w:name w:val="纯文本 Char"/>
    <w:basedOn w:val="18"/>
    <w:link w:val="9"/>
    <w:qFormat/>
    <w:uiPriority w:val="0"/>
    <w:rPr>
      <w:rFonts w:ascii="宋体" w:hAnsi="Courier New" w:eastAsia="宋体" w:cs="Times New Roman"/>
      <w:szCs w:val="21"/>
      <w:lang w:val="zh-CN" w:eastAsia="zh-CN"/>
    </w:rPr>
  </w:style>
  <w:style w:type="character" w:customStyle="1" w:styleId="34">
    <w:name w:val="批注文字 Char"/>
    <w:basedOn w:val="18"/>
    <w:link w:val="6"/>
    <w:uiPriority w:val="99"/>
    <w:rPr>
      <w:rFonts w:ascii="Times New Roman" w:hAnsi="Times New Roman" w:eastAsia="宋体" w:cs="Times New Roman"/>
      <w:szCs w:val="24"/>
      <w:lang w:val="zh-CN" w:eastAsia="zh-CN"/>
    </w:rPr>
  </w:style>
  <w:style w:type="character" w:customStyle="1" w:styleId="35">
    <w:name w:val="批注主题 Char"/>
    <w:basedOn w:val="34"/>
    <w:link w:val="5"/>
    <w:semiHidden/>
    <w:qFormat/>
    <w:uiPriority w:val="99"/>
    <w:rPr>
      <w:rFonts w:ascii="Times New Roman" w:hAnsi="Times New Roman" w:eastAsia="宋体" w:cs="Times New Roman"/>
      <w:b/>
      <w:bCs/>
      <w:szCs w:val="24"/>
      <w:lang w:val="zh-CN" w:eastAsia="zh-CN"/>
    </w:rPr>
  </w:style>
  <w:style w:type="paragraph" w:customStyle="1" w:styleId="36">
    <w:name w:val="Revision"/>
    <w:hidden/>
    <w:semiHidden/>
    <w:uiPriority w:val="99"/>
    <w:rPr>
      <w:rFonts w:ascii="Times New Roman" w:hAnsi="Times New Roman" w:eastAsia="宋体" w:cs="Times New Roman"/>
      <w:kern w:val="2"/>
      <w:sz w:val="21"/>
      <w:szCs w:val="24"/>
      <w:lang w:val="en-US" w:eastAsia="zh-CN" w:bidi="ar-SA"/>
    </w:rPr>
  </w:style>
  <w:style w:type="paragraph" w:customStyle="1" w:styleId="37">
    <w:name w:val="Char Char Char Char1 Char Char Char Char Char1 Char Char Char Char Char Char"/>
    <w:basedOn w:val="1"/>
    <w:semiHidden/>
    <w:qFormat/>
    <w:uiPriority w:val="0"/>
    <w:pPr>
      <w:widowControl/>
      <w:spacing w:after="160" w:line="240" w:lineRule="exact"/>
      <w:jc w:val="left"/>
    </w:pPr>
    <w:rPr>
      <w:rFonts w:ascii="Verdana" w:hAnsi="Verdana"/>
      <w:kern w:val="0"/>
      <w:sz w:val="20"/>
      <w:szCs w:val="20"/>
      <w:lang w:eastAsia="en-US"/>
    </w:rPr>
  </w:style>
  <w:style w:type="character" w:customStyle="1" w:styleId="38">
    <w:name w:val="文档结构图 Char"/>
    <w:basedOn w:val="18"/>
    <w:link w:val="7"/>
    <w:semiHidden/>
    <w:qFormat/>
    <w:uiPriority w:val="99"/>
    <w:rPr>
      <w:rFonts w:ascii="宋体" w:hAnsi="Times New Roman" w:eastAsia="宋体" w:cs="Times New Roman"/>
      <w:sz w:val="18"/>
      <w:szCs w:val="18"/>
      <w:lang w:val="zh-CN" w:eastAsia="zh-CN"/>
    </w:rPr>
  </w:style>
  <w:style w:type="character" w:customStyle="1" w:styleId="39">
    <w:name w:val="日期 Char"/>
    <w:basedOn w:val="18"/>
    <w:link w:val="10"/>
    <w:semiHidden/>
    <w:qFormat/>
    <w:uiPriority w:val="99"/>
    <w:rPr>
      <w:rFonts w:ascii="Times New Roman" w:hAnsi="Times New Roman" w:eastAsia="宋体" w:cs="Times New Roman"/>
      <w:szCs w:val="24"/>
      <w:lang w:val="zh-CN" w:eastAsia="zh-CN"/>
    </w:rPr>
  </w:style>
  <w:style w:type="character" w:customStyle="1" w:styleId="40">
    <w:name w:val="gongkai_content_2_title1"/>
    <w:uiPriority w:val="0"/>
    <w:rPr>
      <w:rFonts w:hint="eastAsia" w:ascii="黑体" w:hAnsi="黑体" w:eastAsia="黑体"/>
      <w:b/>
      <w:bCs/>
      <w:sz w:val="28"/>
      <w:szCs w:val="28"/>
    </w:rPr>
  </w:style>
  <w:style w:type="character" w:customStyle="1" w:styleId="41">
    <w:name w:val="style11"/>
    <w:qFormat/>
    <w:uiPriority w:val="0"/>
    <w:rPr>
      <w:b/>
      <w:bCs/>
      <w:sz w:val="22"/>
      <w:szCs w:val="22"/>
    </w:rPr>
  </w:style>
  <w:style w:type="paragraph" w:customStyle="1" w:styleId="42">
    <w:name w:val="p15"/>
    <w:basedOn w:val="1"/>
    <w:uiPriority w:val="0"/>
    <w:pPr>
      <w:widowControl/>
      <w:ind w:firstLine="420"/>
    </w:pPr>
    <w:rPr>
      <w:rFonts w:ascii="Calibri" w:hAnsi="Calibri" w:cs="宋体"/>
      <w:kern w:val="0"/>
      <w:szCs w:val="21"/>
    </w:rPr>
  </w:style>
  <w:style w:type="paragraph" w:customStyle="1"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31</Pages>
  <Words>3447</Words>
  <Characters>19649</Characters>
  <Lines>163</Lines>
  <Paragraphs>46</Paragraphs>
  <TotalTime>0</TotalTime>
  <ScaleCrop>false</ScaleCrop>
  <LinksUpToDate>false</LinksUpToDate>
  <CharactersWithSpaces>23050</CharactersWithSpaces>
  <Application>WPS Office_10.1.0.5399_F1E327BC-269C-435d-A152-05C5408002CA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2015-12-04T01:38:00Z</dcterms:created>
  <dc:creator>Sky123.Org</dc:creator>
  <cp:lastModifiedBy>Administrator</cp:lastModifiedBy>
  <dcterms:modified xsi:type="dcterms:W3CDTF">2015-12-07T05:30:32Z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2052-10.1.0.5399</vt:lpwstr>
  </property>
</Properties>
</file>